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117" w:rsidRDefault="00CB1117" w:rsidP="00CB1117">
      <w:r>
        <w:t>Interne Informationen:</w:t>
      </w:r>
    </w:p>
    <w:sdt>
      <w:sdtPr>
        <w:rPr>
          <w:rFonts w:asciiTheme="minorHAnsi" w:eastAsiaTheme="minorHAnsi" w:hAnsiTheme="minorHAnsi" w:cstheme="minorBidi"/>
          <w:b w:val="0"/>
          <w:bCs w:val="0"/>
          <w:color w:val="auto"/>
          <w:sz w:val="22"/>
          <w:szCs w:val="22"/>
          <w:lang w:eastAsia="en-US"/>
        </w:rPr>
        <w:id w:val="-1370690759"/>
        <w:docPartObj>
          <w:docPartGallery w:val="Table of Contents"/>
          <w:docPartUnique/>
        </w:docPartObj>
      </w:sdtPr>
      <w:sdtEndPr/>
      <w:sdtContent>
        <w:p w:rsidR="00CB1117" w:rsidRDefault="00CB1117">
          <w:pPr>
            <w:pStyle w:val="Inhaltsverzeichnisberschrift"/>
          </w:pPr>
          <w:r>
            <w:t>Inhalt</w:t>
          </w:r>
        </w:p>
        <w:p w:rsidR="00595471" w:rsidRDefault="00CB1117">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82175600" w:history="1">
            <w:r w:rsidR="00595471" w:rsidRPr="00C7572E">
              <w:rPr>
                <w:rStyle w:val="Hyperlink"/>
                <w:noProof/>
              </w:rPr>
              <w:t>Stundensatzkalkulation für EPU im Dienstleistungssektor in der Gründungsphase – Teil 3 (Kostenanalyse)</w:t>
            </w:r>
            <w:r w:rsidR="00595471">
              <w:rPr>
                <w:noProof/>
                <w:webHidden/>
              </w:rPr>
              <w:tab/>
            </w:r>
            <w:r w:rsidR="00595471">
              <w:rPr>
                <w:noProof/>
                <w:webHidden/>
              </w:rPr>
              <w:fldChar w:fldCharType="begin"/>
            </w:r>
            <w:r w:rsidR="00595471">
              <w:rPr>
                <w:noProof/>
                <w:webHidden/>
              </w:rPr>
              <w:instrText xml:space="preserve"> PAGEREF _Toc482175600 \h </w:instrText>
            </w:r>
            <w:r w:rsidR="00595471">
              <w:rPr>
                <w:noProof/>
                <w:webHidden/>
              </w:rPr>
            </w:r>
            <w:r w:rsidR="00595471">
              <w:rPr>
                <w:noProof/>
                <w:webHidden/>
              </w:rPr>
              <w:fldChar w:fldCharType="separate"/>
            </w:r>
            <w:r w:rsidR="005D797B">
              <w:rPr>
                <w:noProof/>
                <w:webHidden/>
              </w:rPr>
              <w:t>1</w:t>
            </w:r>
            <w:r w:rsidR="00595471">
              <w:rPr>
                <w:noProof/>
                <w:webHidden/>
              </w:rPr>
              <w:fldChar w:fldCharType="end"/>
            </w:r>
          </w:hyperlink>
        </w:p>
        <w:p w:rsidR="00595471" w:rsidRDefault="00960196">
          <w:pPr>
            <w:pStyle w:val="Verzeichnis2"/>
            <w:tabs>
              <w:tab w:val="right" w:leader="dot" w:pos="9062"/>
            </w:tabs>
            <w:rPr>
              <w:rFonts w:eastAsiaTheme="minorEastAsia"/>
              <w:noProof/>
              <w:lang w:eastAsia="de-DE"/>
            </w:rPr>
          </w:pPr>
          <w:hyperlink w:anchor="_Toc482175601" w:history="1">
            <w:r w:rsidR="00595471" w:rsidRPr="00C7572E">
              <w:rPr>
                <w:rStyle w:val="Hyperlink"/>
                <w:noProof/>
              </w:rPr>
              <w:t>Break-Even-Analyse</w:t>
            </w:r>
            <w:r w:rsidR="00595471">
              <w:rPr>
                <w:noProof/>
                <w:webHidden/>
              </w:rPr>
              <w:tab/>
            </w:r>
            <w:r w:rsidR="00595471">
              <w:rPr>
                <w:noProof/>
                <w:webHidden/>
              </w:rPr>
              <w:fldChar w:fldCharType="begin"/>
            </w:r>
            <w:r w:rsidR="00595471">
              <w:rPr>
                <w:noProof/>
                <w:webHidden/>
              </w:rPr>
              <w:instrText xml:space="preserve"> PAGEREF _Toc482175601 \h </w:instrText>
            </w:r>
            <w:r w:rsidR="00595471">
              <w:rPr>
                <w:noProof/>
                <w:webHidden/>
              </w:rPr>
            </w:r>
            <w:r w:rsidR="00595471">
              <w:rPr>
                <w:noProof/>
                <w:webHidden/>
              </w:rPr>
              <w:fldChar w:fldCharType="separate"/>
            </w:r>
            <w:r w:rsidR="005D797B">
              <w:rPr>
                <w:noProof/>
                <w:webHidden/>
              </w:rPr>
              <w:t>1</w:t>
            </w:r>
            <w:r w:rsidR="00595471">
              <w:rPr>
                <w:noProof/>
                <w:webHidden/>
              </w:rPr>
              <w:fldChar w:fldCharType="end"/>
            </w:r>
          </w:hyperlink>
        </w:p>
        <w:p w:rsidR="00595471" w:rsidRDefault="00960196">
          <w:pPr>
            <w:pStyle w:val="Verzeichnis2"/>
            <w:tabs>
              <w:tab w:val="right" w:leader="dot" w:pos="9062"/>
            </w:tabs>
            <w:rPr>
              <w:rFonts w:eastAsiaTheme="minorEastAsia"/>
              <w:noProof/>
              <w:lang w:eastAsia="de-DE"/>
            </w:rPr>
          </w:pPr>
          <w:hyperlink w:anchor="_Toc482175602" w:history="1">
            <w:r w:rsidR="00595471" w:rsidRPr="00C7572E">
              <w:rPr>
                <w:rStyle w:val="Hyperlink"/>
                <w:noProof/>
              </w:rPr>
              <w:t>Ermittlung der Break-Even-Menge</w:t>
            </w:r>
            <w:r w:rsidR="00595471">
              <w:rPr>
                <w:noProof/>
                <w:webHidden/>
              </w:rPr>
              <w:tab/>
            </w:r>
            <w:r w:rsidR="00595471">
              <w:rPr>
                <w:noProof/>
                <w:webHidden/>
              </w:rPr>
              <w:fldChar w:fldCharType="begin"/>
            </w:r>
            <w:r w:rsidR="00595471">
              <w:rPr>
                <w:noProof/>
                <w:webHidden/>
              </w:rPr>
              <w:instrText xml:space="preserve"> PAGEREF _Toc482175602 \h </w:instrText>
            </w:r>
            <w:r w:rsidR="00595471">
              <w:rPr>
                <w:noProof/>
                <w:webHidden/>
              </w:rPr>
            </w:r>
            <w:r w:rsidR="00595471">
              <w:rPr>
                <w:noProof/>
                <w:webHidden/>
              </w:rPr>
              <w:fldChar w:fldCharType="separate"/>
            </w:r>
            <w:r w:rsidR="005D797B">
              <w:rPr>
                <w:noProof/>
                <w:webHidden/>
              </w:rPr>
              <w:t>2</w:t>
            </w:r>
            <w:r w:rsidR="00595471">
              <w:rPr>
                <w:noProof/>
                <w:webHidden/>
              </w:rPr>
              <w:fldChar w:fldCharType="end"/>
            </w:r>
          </w:hyperlink>
        </w:p>
        <w:p w:rsidR="00595471" w:rsidRDefault="00960196">
          <w:pPr>
            <w:pStyle w:val="Verzeichnis2"/>
            <w:tabs>
              <w:tab w:val="right" w:leader="dot" w:pos="9062"/>
            </w:tabs>
            <w:rPr>
              <w:rFonts w:eastAsiaTheme="minorEastAsia"/>
              <w:noProof/>
              <w:lang w:eastAsia="de-DE"/>
            </w:rPr>
          </w:pPr>
          <w:hyperlink w:anchor="_Toc482175603" w:history="1">
            <w:r w:rsidR="00595471" w:rsidRPr="00C7572E">
              <w:rPr>
                <w:rStyle w:val="Hyperlink"/>
                <w:noProof/>
              </w:rPr>
              <w:t>Ermittlung des Break-Even-Preises</w:t>
            </w:r>
            <w:r w:rsidR="00595471">
              <w:rPr>
                <w:noProof/>
                <w:webHidden/>
              </w:rPr>
              <w:tab/>
            </w:r>
            <w:r w:rsidR="00595471">
              <w:rPr>
                <w:noProof/>
                <w:webHidden/>
              </w:rPr>
              <w:fldChar w:fldCharType="begin"/>
            </w:r>
            <w:r w:rsidR="00595471">
              <w:rPr>
                <w:noProof/>
                <w:webHidden/>
              </w:rPr>
              <w:instrText xml:space="preserve"> PAGEREF _Toc482175603 \h </w:instrText>
            </w:r>
            <w:r w:rsidR="00595471">
              <w:rPr>
                <w:noProof/>
                <w:webHidden/>
              </w:rPr>
            </w:r>
            <w:r w:rsidR="00595471">
              <w:rPr>
                <w:noProof/>
                <w:webHidden/>
              </w:rPr>
              <w:fldChar w:fldCharType="separate"/>
            </w:r>
            <w:r w:rsidR="005D797B">
              <w:rPr>
                <w:noProof/>
                <w:webHidden/>
              </w:rPr>
              <w:t>4</w:t>
            </w:r>
            <w:r w:rsidR="00595471">
              <w:rPr>
                <w:noProof/>
                <w:webHidden/>
              </w:rPr>
              <w:fldChar w:fldCharType="end"/>
            </w:r>
          </w:hyperlink>
        </w:p>
        <w:p w:rsidR="00595471" w:rsidRDefault="00960196">
          <w:pPr>
            <w:pStyle w:val="Verzeichnis2"/>
            <w:tabs>
              <w:tab w:val="right" w:leader="dot" w:pos="9062"/>
            </w:tabs>
            <w:rPr>
              <w:rFonts w:eastAsiaTheme="minorEastAsia"/>
              <w:noProof/>
              <w:lang w:eastAsia="de-DE"/>
            </w:rPr>
          </w:pPr>
          <w:hyperlink w:anchor="_Toc482175604" w:history="1">
            <w:r w:rsidR="00595471" w:rsidRPr="00C7572E">
              <w:rPr>
                <w:rStyle w:val="Hyperlink"/>
                <w:noProof/>
              </w:rPr>
              <w:t>Zusammenfassung und Ausblick</w:t>
            </w:r>
            <w:r w:rsidR="00595471">
              <w:rPr>
                <w:noProof/>
                <w:webHidden/>
              </w:rPr>
              <w:tab/>
            </w:r>
            <w:r w:rsidR="00595471">
              <w:rPr>
                <w:noProof/>
                <w:webHidden/>
              </w:rPr>
              <w:fldChar w:fldCharType="begin"/>
            </w:r>
            <w:r w:rsidR="00595471">
              <w:rPr>
                <w:noProof/>
                <w:webHidden/>
              </w:rPr>
              <w:instrText xml:space="preserve"> PAGEREF _Toc482175604 \h </w:instrText>
            </w:r>
            <w:r w:rsidR="00595471">
              <w:rPr>
                <w:noProof/>
                <w:webHidden/>
              </w:rPr>
            </w:r>
            <w:r w:rsidR="00595471">
              <w:rPr>
                <w:noProof/>
                <w:webHidden/>
              </w:rPr>
              <w:fldChar w:fldCharType="separate"/>
            </w:r>
            <w:r w:rsidR="005D797B">
              <w:rPr>
                <w:noProof/>
                <w:webHidden/>
              </w:rPr>
              <w:t>5</w:t>
            </w:r>
            <w:r w:rsidR="00595471">
              <w:rPr>
                <w:noProof/>
                <w:webHidden/>
              </w:rPr>
              <w:fldChar w:fldCharType="end"/>
            </w:r>
          </w:hyperlink>
        </w:p>
        <w:p w:rsidR="00CB1117" w:rsidRDefault="00CB1117">
          <w:r>
            <w:rPr>
              <w:b/>
              <w:bCs/>
            </w:rPr>
            <w:fldChar w:fldCharType="end"/>
          </w:r>
        </w:p>
      </w:sdtContent>
    </w:sdt>
    <w:p w:rsidR="00CB1117" w:rsidRDefault="00ED0463" w:rsidP="00CB1117">
      <w:r>
        <w:t>Artikel:</w:t>
      </w:r>
    </w:p>
    <w:p w:rsidR="00CB1117" w:rsidRDefault="00CB1117" w:rsidP="00CB1117">
      <w:r>
        <w:t>___________________________________________________________</w:t>
      </w:r>
    </w:p>
    <w:p w:rsidR="0078296D" w:rsidRDefault="002719A8" w:rsidP="0030656C">
      <w:pPr>
        <w:pStyle w:val="berschrift1"/>
      </w:pPr>
      <w:bookmarkStart w:id="0" w:name="_Toc482175600"/>
      <w:r>
        <w:t>Stundensatzkalkulation</w:t>
      </w:r>
      <w:r w:rsidR="0093633E">
        <w:t xml:space="preserve"> für </w:t>
      </w:r>
      <w:r>
        <w:t>EPU</w:t>
      </w:r>
      <w:r w:rsidR="00ED0463">
        <w:t xml:space="preserve"> im Dienstleistungssektor</w:t>
      </w:r>
      <w:r>
        <w:t xml:space="preserve"> in der Gründungsphase</w:t>
      </w:r>
      <w:r w:rsidR="00ED0463">
        <w:t xml:space="preserve"> </w:t>
      </w:r>
      <w:r w:rsidR="00E224C8">
        <w:t xml:space="preserve">– </w:t>
      </w:r>
      <w:r w:rsidR="001F0228">
        <w:t>Teil 3 (Kostenanalyse)</w:t>
      </w:r>
      <w:bookmarkEnd w:id="0"/>
    </w:p>
    <w:p w:rsidR="0030656C" w:rsidRDefault="0030656C"/>
    <w:p w:rsidR="00DA7EEF" w:rsidRDefault="00DA7EEF" w:rsidP="002719A8">
      <w:pPr>
        <w:jc w:val="both"/>
      </w:pPr>
      <w:r>
        <w:t>Im ersten und zweiten Teil dieser Artikelreihe wurden die</w:t>
      </w:r>
      <w:r w:rsidR="0046596C">
        <w:t xml:space="preserve"> Vorgehensweise bei der Kostenplanung</w:t>
      </w:r>
      <w:r>
        <w:t xml:space="preserve"> und die Ermittlung des Stundensatzes </w:t>
      </w:r>
      <w:r w:rsidR="00245BB0">
        <w:t>vorgestellt</w:t>
      </w:r>
      <w:r>
        <w:t xml:space="preserve">. </w:t>
      </w:r>
      <w:r w:rsidR="00B56E84">
        <w:t xml:space="preserve">Die </w:t>
      </w:r>
      <w:r w:rsidR="008F0C85">
        <w:t>Berechnung</w:t>
      </w:r>
      <w:r w:rsidR="00B56E84">
        <w:t xml:space="preserve"> des Stundensatzes </w:t>
      </w:r>
      <w:r w:rsidR="008F0C85">
        <w:t>erfolgte</w:t>
      </w:r>
      <w:r w:rsidR="00B56E84">
        <w:t xml:space="preserve"> aufgrund sicherer </w:t>
      </w:r>
      <w:r w:rsidR="008F0C85">
        <w:t>Annahmen</w:t>
      </w:r>
      <w:r w:rsidR="00B56E84">
        <w:t xml:space="preserve">. Das bedeutet, dass </w:t>
      </w:r>
      <w:r w:rsidR="0046596C">
        <w:t>die</w:t>
      </w:r>
      <w:r w:rsidR="00B56E84">
        <w:t xml:space="preserve"> geplanten </w:t>
      </w:r>
      <w:r w:rsidR="00303C45">
        <w:t xml:space="preserve">Erlöse und </w:t>
      </w:r>
      <w:r w:rsidR="00B56E84">
        <w:t>Kosten</w:t>
      </w:r>
      <w:r w:rsidR="0046596C">
        <w:t xml:space="preserve"> </w:t>
      </w:r>
      <w:r w:rsidR="00303C45">
        <w:t>in der zu planenden Periode als bekannt</w:t>
      </w:r>
      <w:r w:rsidR="00BF2A4B">
        <w:t xml:space="preserve"> angenommen </w:t>
      </w:r>
      <w:r w:rsidR="00303C45">
        <w:t xml:space="preserve">werden </w:t>
      </w:r>
      <w:r w:rsidR="0046596C">
        <w:t>und</w:t>
      </w:r>
      <w:r w:rsidR="00B56E84">
        <w:t xml:space="preserve"> </w:t>
      </w:r>
      <w:r w:rsidR="00303C45">
        <w:t xml:space="preserve">die geplanten verrechenbaren Stunden verkauft </w:t>
      </w:r>
      <w:r w:rsidR="00B56E84">
        <w:t xml:space="preserve">werden können. </w:t>
      </w:r>
      <w:r w:rsidR="002B2D33">
        <w:t>Die meisten klassischen Kostenrechnungs</w:t>
      </w:r>
      <w:r w:rsidR="00113FDE">
        <w:t>ansätze</w:t>
      </w:r>
      <w:r w:rsidR="002B2D33">
        <w:t xml:space="preserve"> basieren auf sicheren Erwartungen. Das Problem </w:t>
      </w:r>
      <w:r w:rsidR="00962530">
        <w:t xml:space="preserve">hierbei </w:t>
      </w:r>
      <w:r w:rsidR="002B2D33">
        <w:t xml:space="preserve">ist, dass zu Beginn der Periode nicht </w:t>
      </w:r>
      <w:r w:rsidR="00303C45">
        <w:t>mit Gewissheit bekannt ist</w:t>
      </w:r>
      <w:r w:rsidR="002B2D33">
        <w:t>, wie viele Stunden tatsächlich verrechnet werden können bzw. wie sich die Kosten</w:t>
      </w:r>
      <w:r w:rsidR="008C2A99">
        <w:t xml:space="preserve"> tatsächlich entwickeln werden.</w:t>
      </w:r>
      <w:r w:rsidR="002B2D33">
        <w:t xml:space="preserve"> Diese Unsicherheiten sind zwangsläufig vorhanden. Es stellt sich die Frage, ob diese vernachlässigbar gering sind oder </w:t>
      </w:r>
      <w:r w:rsidR="00BF2A4B">
        <w:t>Maßnahmen getroffen werden müssen.</w:t>
      </w:r>
      <w:r w:rsidR="002B2D33">
        <w:t xml:space="preserve"> In diesem dritten Teil soll daher die Unsicherheit miteinbezogen wer</w:t>
      </w:r>
      <w:r w:rsidR="00B56E84">
        <w:t>den.</w:t>
      </w:r>
      <w:r w:rsidR="002B2D33">
        <w:t xml:space="preserve"> </w:t>
      </w:r>
      <w:r w:rsidR="00B56E84">
        <w:t>E</w:t>
      </w:r>
      <w:r w:rsidR="002B2D33">
        <w:t xml:space="preserve">rst unter Berücksichtigung dieser unsicheren Erwartungen </w:t>
      </w:r>
      <w:r w:rsidR="008C2A99">
        <w:t>können zweckmäßige unternehmerische</w:t>
      </w:r>
      <w:r w:rsidR="00603E94">
        <w:t xml:space="preserve"> </w:t>
      </w:r>
      <w:r w:rsidR="008F0C85">
        <w:t>Entscheidung</w:t>
      </w:r>
      <w:r w:rsidR="008C2A99">
        <w:t>en</w:t>
      </w:r>
      <w:r w:rsidR="008F0C85">
        <w:t xml:space="preserve"> getroffen werden </w:t>
      </w:r>
      <w:r w:rsidR="002B2D33">
        <w:t>(Vgl. bspwe Ewert/Wagenhofer: Interne Unternehmensrechnung, 7. Aufl., Springer Ver</w:t>
      </w:r>
      <w:r w:rsidR="00B56E84">
        <w:t>lag, S. 189</w:t>
      </w:r>
      <w:r w:rsidR="009628E7">
        <w:t xml:space="preserve"> </w:t>
      </w:r>
      <w:r w:rsidR="002B2D33">
        <w:t xml:space="preserve">f.). </w:t>
      </w:r>
      <w:r w:rsidR="00B56E84">
        <w:t>Eine wesentliche Fragestellung für Unternehmer/innen lautet, wie viele Stunden</w:t>
      </w:r>
      <w:r w:rsidR="0046596C">
        <w:t xml:space="preserve"> in einer Periode</w:t>
      </w:r>
      <w:r w:rsidR="00B56E84">
        <w:t xml:space="preserve"> verrechnet werden müssen, damit zumindest </w:t>
      </w:r>
      <w:r w:rsidR="0041335F">
        <w:t>kein Verlust entsteht</w:t>
      </w:r>
      <w:r w:rsidR="00B56E84">
        <w:t xml:space="preserve">. </w:t>
      </w:r>
      <w:r w:rsidR="002B2D33">
        <w:t xml:space="preserve">Ein </w:t>
      </w:r>
      <w:r w:rsidR="008F0C85">
        <w:t>Instrument zur Beantwortung dieser Frage</w:t>
      </w:r>
      <w:r w:rsidR="002B2D33">
        <w:t xml:space="preserve">, </w:t>
      </w:r>
      <w:r w:rsidR="008F0C85">
        <w:t>welches</w:t>
      </w:r>
      <w:r w:rsidR="00BF2A4B">
        <w:t xml:space="preserve"> unter anderem</w:t>
      </w:r>
      <w:r w:rsidR="008F0C85">
        <w:t xml:space="preserve"> </w:t>
      </w:r>
      <w:r w:rsidR="002B2D33">
        <w:t xml:space="preserve">die Unsicherheit </w:t>
      </w:r>
      <w:r w:rsidR="008F0C85">
        <w:t>der Absatzschwankungen</w:t>
      </w:r>
      <w:r w:rsidR="00603E94">
        <w:t xml:space="preserve"> in die Entscheidungsfindung</w:t>
      </w:r>
      <w:r w:rsidR="002B2D33">
        <w:t xml:space="preserve"> </w:t>
      </w:r>
      <w:r w:rsidR="008F0C85">
        <w:t>miteinfließen lässt</w:t>
      </w:r>
      <w:r w:rsidR="002B2D33">
        <w:t xml:space="preserve">, bietet die </w:t>
      </w:r>
      <w:r w:rsidR="000679EB">
        <w:t>Break-</w:t>
      </w:r>
      <w:r w:rsidR="002B2D33">
        <w:t>Even-Analyse.</w:t>
      </w:r>
    </w:p>
    <w:p w:rsidR="00874239" w:rsidRDefault="00B56E84" w:rsidP="00874239">
      <w:pPr>
        <w:pStyle w:val="berschrift2"/>
      </w:pPr>
      <w:bookmarkStart w:id="1" w:name="_Toc482175601"/>
      <w:r>
        <w:t>B</w:t>
      </w:r>
      <w:r w:rsidR="000679EB">
        <w:t>reak-</w:t>
      </w:r>
      <w:r>
        <w:t>Even-Analyse</w:t>
      </w:r>
      <w:bookmarkEnd w:id="1"/>
    </w:p>
    <w:p w:rsidR="00864DCE" w:rsidRDefault="0041335F" w:rsidP="00874239">
      <w:pPr>
        <w:jc w:val="both"/>
      </w:pPr>
      <w:r>
        <w:t xml:space="preserve">Die </w:t>
      </w:r>
      <w:r w:rsidR="0073624A">
        <w:t>Break-</w:t>
      </w:r>
      <w:r w:rsidR="0046596C">
        <w:t xml:space="preserve">Even-Analyse (Gewinnschwellenanalyse, Ermittlung der Verlustgrenze) gibt einen Überblick über Umsätze, Kosten, Gewinne und Verluste für </w:t>
      </w:r>
      <w:r>
        <w:t>unterschiedliche Absatzmengen (Vgl. bspwe Coenenberg/Fischer/Günther: Kostenrechnung und Kostenanalyse, 9. Aufl., Schäffer-Poeschel Verlag, S. 326).</w:t>
      </w:r>
    </w:p>
    <w:p w:rsidR="0041335F" w:rsidRDefault="0041335F" w:rsidP="00874239">
      <w:pPr>
        <w:jc w:val="both"/>
      </w:pPr>
      <w:r>
        <w:t xml:space="preserve">Im </w:t>
      </w:r>
      <w:r w:rsidRPr="00603E94">
        <w:rPr>
          <w:b/>
        </w:rPr>
        <w:t>Grundmodell</w:t>
      </w:r>
      <w:r>
        <w:t xml:space="preserve"> der Break-Even-Analyse wird insbesondere die </w:t>
      </w:r>
      <w:r w:rsidRPr="00603E94">
        <w:rPr>
          <w:b/>
        </w:rPr>
        <w:t>Beschäftigungsunsicherheit</w:t>
      </w:r>
      <w:r>
        <w:t xml:space="preserve"> thematisiert. Es geht um die Berechnung eines </w:t>
      </w:r>
      <w:r w:rsidRPr="00C3088D">
        <w:rPr>
          <w:b/>
        </w:rPr>
        <w:t>kritischen Wertes</w:t>
      </w:r>
      <w:r>
        <w:t xml:space="preserve">, nämlich </w:t>
      </w:r>
      <w:r w:rsidR="007471E3">
        <w:t>jener</w:t>
      </w:r>
      <w:r>
        <w:t xml:space="preserve"> Absatzmenge, bei der </w:t>
      </w:r>
      <w:r w:rsidR="001C219B">
        <w:t>im</w:t>
      </w:r>
      <w:r w:rsidR="00A145D6">
        <w:t xml:space="preserve"> </w:t>
      </w:r>
      <w:r w:rsidR="00A145D6">
        <w:lastRenderedPageBreak/>
        <w:t>Unternehmen</w:t>
      </w:r>
      <w:r w:rsidR="001C219B">
        <w:t xml:space="preserve"> weder ein</w:t>
      </w:r>
      <w:r>
        <w:t xml:space="preserve"> </w:t>
      </w:r>
      <w:r w:rsidR="001C219B">
        <w:t>Gewinn erwirtschaftet noch ein</w:t>
      </w:r>
      <w:r>
        <w:t xml:space="preserve"> Verlust </w:t>
      </w:r>
      <w:r w:rsidR="00937966">
        <w:t>erzielt</w:t>
      </w:r>
      <w:r w:rsidR="001C219B">
        <w:t xml:space="preserve"> wird</w:t>
      </w:r>
      <w:r>
        <w:t xml:space="preserve">. </w:t>
      </w:r>
      <w:r w:rsidR="009628E7">
        <w:t xml:space="preserve">Diese Menge wird </w:t>
      </w:r>
      <w:r w:rsidR="00402E8A">
        <w:t>als</w:t>
      </w:r>
      <w:r w:rsidR="009628E7">
        <w:t xml:space="preserve"> </w:t>
      </w:r>
      <w:r w:rsidR="009628E7" w:rsidRPr="00603E94">
        <w:rPr>
          <w:b/>
        </w:rPr>
        <w:t>Break-Even-Menge</w:t>
      </w:r>
      <w:r w:rsidR="009628E7">
        <w:t xml:space="preserve"> </w:t>
      </w:r>
      <w:r w:rsidR="00402E8A">
        <w:t>bezeichnet</w:t>
      </w:r>
      <w:r w:rsidR="009628E7" w:rsidRPr="009628E7">
        <w:t xml:space="preserve"> </w:t>
      </w:r>
      <w:r w:rsidR="009628E7">
        <w:t>(Vgl. Ewert/Wagenhofer: Interne Unternehmensrechnung, 7. Aufl., Springer Verlag, S. 191 f.).</w:t>
      </w:r>
    </w:p>
    <w:p w:rsidR="00F40D40" w:rsidRDefault="00F40D40" w:rsidP="00F40D40">
      <w:pPr>
        <w:pStyle w:val="berschrift2"/>
      </w:pPr>
      <w:bookmarkStart w:id="2" w:name="_Toc482175602"/>
      <w:r>
        <w:t>Ermittlung der Break-Even-Menge</w:t>
      </w:r>
      <w:bookmarkEnd w:id="2"/>
    </w:p>
    <w:p w:rsidR="00B933A1" w:rsidRDefault="00B933A1" w:rsidP="00874239">
      <w:pPr>
        <w:jc w:val="both"/>
      </w:pPr>
      <w:r>
        <w:t xml:space="preserve">Zur Berechnung der </w:t>
      </w:r>
      <w:r w:rsidRPr="001928DF">
        <w:rPr>
          <w:b/>
        </w:rPr>
        <w:t>Break-Even-Menge</w:t>
      </w:r>
      <w:r>
        <w:t xml:space="preserve"> müssen drei Ausgangsdaten bekannt sein, wobei diese als </w:t>
      </w:r>
      <w:r w:rsidR="007471E3">
        <w:t>sicher</w:t>
      </w:r>
      <w:r>
        <w:t xml:space="preserve"> angenommen werden, um aus diesen die </w:t>
      </w:r>
      <w:r w:rsidR="00A25CEE">
        <w:t>kritische</w:t>
      </w:r>
      <w:r>
        <w:t xml:space="preserve"> Größe (Break-Even-Menge) zu </w:t>
      </w:r>
      <w:r w:rsidR="007B4090">
        <w:t>errechnen</w:t>
      </w:r>
      <w:r>
        <w:t>:</w:t>
      </w:r>
    </w:p>
    <w:p w:rsidR="00B933A1" w:rsidRDefault="00B933A1" w:rsidP="00B933A1">
      <w:pPr>
        <w:pStyle w:val="Listenabsatz"/>
        <w:numPr>
          <w:ilvl w:val="0"/>
          <w:numId w:val="2"/>
        </w:numPr>
        <w:jc w:val="both"/>
      </w:pPr>
      <w:r>
        <w:t>Der (Nettoverkaufs-)Preis für eine verkaufte Stunde</w:t>
      </w:r>
    </w:p>
    <w:p w:rsidR="00B933A1" w:rsidRDefault="00B933A1" w:rsidP="00B933A1">
      <w:pPr>
        <w:pStyle w:val="Listenabsatz"/>
        <w:numPr>
          <w:ilvl w:val="0"/>
          <w:numId w:val="2"/>
        </w:numPr>
        <w:jc w:val="both"/>
      </w:pPr>
      <w:r>
        <w:t>Die variablen Kosten je Stunde</w:t>
      </w:r>
    </w:p>
    <w:p w:rsidR="00B933A1" w:rsidRDefault="00B933A1" w:rsidP="00B933A1">
      <w:pPr>
        <w:pStyle w:val="Listenabsatz"/>
        <w:numPr>
          <w:ilvl w:val="0"/>
          <w:numId w:val="2"/>
        </w:numPr>
        <w:jc w:val="both"/>
      </w:pPr>
      <w:r>
        <w:t>Die Fixkosten der Periode</w:t>
      </w:r>
    </w:p>
    <w:p w:rsidR="00B933A1" w:rsidRDefault="00FE7964" w:rsidP="00874239">
      <w:pPr>
        <w:jc w:val="both"/>
      </w:pPr>
      <w:r>
        <w:t>In der</w:t>
      </w:r>
      <w:r w:rsidR="00D00FA3">
        <w:t xml:space="preserve"> Praxis stellt </w:t>
      </w:r>
      <w:r w:rsidR="00603E94">
        <w:t xml:space="preserve">sich </w:t>
      </w:r>
      <w:r w:rsidR="00D00FA3">
        <w:t>die</w:t>
      </w:r>
      <w:r>
        <w:t xml:space="preserve"> Festsetzung</w:t>
      </w:r>
      <w:r w:rsidR="00D00FA3">
        <w:t xml:space="preserve"> der variablen und fixen Kosten </w:t>
      </w:r>
      <w:r w:rsidR="00962530">
        <w:t>verhältnismäßig</w:t>
      </w:r>
      <w:r w:rsidR="00D00FA3">
        <w:t xml:space="preserve"> </w:t>
      </w:r>
      <w:r w:rsidR="00F8019D">
        <w:t xml:space="preserve">einfach dar, wohingegen </w:t>
      </w:r>
      <w:r w:rsidR="00962530">
        <w:t xml:space="preserve">die Höhe </w:t>
      </w:r>
      <w:r w:rsidR="00F8019D">
        <w:t>de</w:t>
      </w:r>
      <w:r w:rsidR="00962530">
        <w:t>s</w:t>
      </w:r>
      <w:r w:rsidR="00F8019D">
        <w:t xml:space="preserve"> Nettoverkaufspreis</w:t>
      </w:r>
      <w:r w:rsidR="00962530">
        <w:t>es</w:t>
      </w:r>
      <w:r w:rsidR="00F8019D">
        <w:t xml:space="preserve"> je Stunde</w:t>
      </w:r>
      <w:r w:rsidR="00FC64F7">
        <w:t xml:space="preserve"> </w:t>
      </w:r>
      <w:r w:rsidR="00962530">
        <w:t>für</w:t>
      </w:r>
      <w:r w:rsidR="00E81752">
        <w:t xml:space="preserve"> Neugründer</w:t>
      </w:r>
      <w:r w:rsidR="00FC64F7">
        <w:t xml:space="preserve"> und Neugründerinnen</w:t>
      </w:r>
      <w:r w:rsidR="00F8019D">
        <w:t xml:space="preserve"> zumeist </w:t>
      </w:r>
      <w:r w:rsidR="007B4090">
        <w:t xml:space="preserve">ebenso </w:t>
      </w:r>
      <w:r w:rsidR="00962530">
        <w:t>unklar</w:t>
      </w:r>
      <w:r w:rsidR="00F8019D">
        <w:t xml:space="preserve"> ist</w:t>
      </w:r>
      <w:r w:rsidR="00741CFF">
        <w:t xml:space="preserve"> wie die Absatzmenge</w:t>
      </w:r>
      <w:r w:rsidR="00603E94">
        <w:t xml:space="preserve"> selbst</w:t>
      </w:r>
      <w:r w:rsidR="00F8019D">
        <w:t xml:space="preserve">. </w:t>
      </w:r>
      <w:r w:rsidR="00D33250">
        <w:t xml:space="preserve">Hierbei empfiehlt es sich, zunächst von den marktüblichen Verkaufspreisen auszugehen. Diese sind </w:t>
      </w:r>
      <w:r w:rsidR="00FC64F7">
        <w:t>in der Branche</w:t>
      </w:r>
      <w:r w:rsidR="00D33250">
        <w:t xml:space="preserve"> meistens bekannt (zB branchenübliche Stundenpreise für eine Physiotherapie)</w:t>
      </w:r>
      <w:r w:rsidR="00FC64F7">
        <w:t xml:space="preserve">. Alternativ kann der Preis </w:t>
      </w:r>
      <w:r w:rsidR="00D33250">
        <w:t xml:space="preserve">aus Preisvergleichen </w:t>
      </w:r>
      <w:r w:rsidR="00A25CEE">
        <w:t>vom Mitbewerb</w:t>
      </w:r>
      <w:r w:rsidR="00D33250">
        <w:t xml:space="preserve"> </w:t>
      </w:r>
      <w:r w:rsidR="005B6323">
        <w:t xml:space="preserve">in der näheren Umgebung </w:t>
      </w:r>
      <w:r w:rsidR="00FC64F7">
        <w:t>abgeleitet werden.</w:t>
      </w:r>
      <w:r w:rsidR="00B20771">
        <w:t xml:space="preserve"> Dieser Preis stellt </w:t>
      </w:r>
      <w:r w:rsidR="004C0FEB">
        <w:t>aus Sicht der Kunden</w:t>
      </w:r>
      <w:r w:rsidR="00B20771">
        <w:t xml:space="preserve"> idR </w:t>
      </w:r>
      <w:r w:rsidR="00A25CEE">
        <w:t>die Preisgrenze für die eigene Leistung dar,</w:t>
      </w:r>
      <w:r w:rsidR="00B20771">
        <w:t xml:space="preserve"> sofern sich </w:t>
      </w:r>
      <w:r w:rsidR="00A25CEE">
        <w:t>der/die</w:t>
      </w:r>
      <w:r w:rsidR="00B20771">
        <w:t xml:space="preserve"> Unternehmer/in nicht mit weiteren Leistungen gegenüber den Mit</w:t>
      </w:r>
      <w:r w:rsidR="00402E8A">
        <w:t>bewerberinnen und Mitbewerbern</w:t>
      </w:r>
      <w:r w:rsidR="00B20771">
        <w:t xml:space="preserve"> differenzieren und somit ein höheres Entgelt </w:t>
      </w:r>
      <w:r w:rsidR="00430C01">
        <w:t>verrechnen</w:t>
      </w:r>
      <w:r w:rsidR="00A25CEE">
        <w:t xml:space="preserve"> kann</w:t>
      </w:r>
      <w:r w:rsidR="00B20771">
        <w:t>.</w:t>
      </w:r>
      <w:r w:rsidR="00962530">
        <w:t xml:space="preserve"> Sollte kein entsprechender Marktpreis verfügbar sein, </w:t>
      </w:r>
      <w:r w:rsidR="00132CCB">
        <w:t>so muss dieser anderweitig geschätzt werden (zB branchenähnliche Stundensätze).</w:t>
      </w:r>
    </w:p>
    <w:p w:rsidR="00874239" w:rsidRDefault="00864DCE" w:rsidP="00FC52DF">
      <w:pPr>
        <w:jc w:val="center"/>
      </w:pPr>
      <w:r>
        <w:rPr>
          <w:noProof/>
          <w:lang w:eastAsia="de-DE"/>
        </w:rPr>
        <w:drawing>
          <wp:inline distT="0" distB="0" distL="0" distR="0" wp14:anchorId="3EEE8240" wp14:editId="37B6356D">
            <wp:extent cx="5760720" cy="306654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066545"/>
                    </a:xfrm>
                    <a:prstGeom prst="rect">
                      <a:avLst/>
                    </a:prstGeom>
                  </pic:spPr>
                </pic:pic>
              </a:graphicData>
            </a:graphic>
          </wp:inline>
        </w:drawing>
      </w:r>
    </w:p>
    <w:p w:rsidR="00874239" w:rsidRDefault="00874239" w:rsidP="00FC52DF">
      <w:pPr>
        <w:pStyle w:val="Beschriftung"/>
        <w:jc w:val="center"/>
      </w:pPr>
      <w:r>
        <w:t xml:space="preserve">Abbildung </w:t>
      </w:r>
      <w:r w:rsidR="00960196">
        <w:fldChar w:fldCharType="begin"/>
      </w:r>
      <w:r w:rsidR="00960196">
        <w:instrText xml:space="preserve"> SEQ Abbildung \* ARABIC </w:instrText>
      </w:r>
      <w:r w:rsidR="00960196">
        <w:fldChar w:fldCharType="separate"/>
      </w:r>
      <w:r w:rsidR="005D797B">
        <w:rPr>
          <w:noProof/>
        </w:rPr>
        <w:t>1</w:t>
      </w:r>
      <w:r w:rsidR="00960196">
        <w:rPr>
          <w:noProof/>
        </w:rPr>
        <w:fldChar w:fldCharType="end"/>
      </w:r>
      <w:r>
        <w:t xml:space="preserve">: </w:t>
      </w:r>
      <w:r w:rsidR="00BF2A4B">
        <w:t>Beispiel für eine Break-Even-Analyse</w:t>
      </w:r>
    </w:p>
    <w:p w:rsidR="00A25CEE" w:rsidRDefault="00BF2A4B" w:rsidP="002719A8">
      <w:pPr>
        <w:jc w:val="both"/>
      </w:pPr>
      <w:r>
        <w:t>In A</w:t>
      </w:r>
      <w:r w:rsidR="00DE2097">
        <w:t>bbildung 1 ist beispielhaft ein Break-Even-Diagramm</w:t>
      </w:r>
      <w:r>
        <w:t xml:space="preserve"> dargestellt. </w:t>
      </w:r>
      <w:r w:rsidR="003305B0">
        <w:t>Für das Beispiel wurde ein Nettoverkaufspreis von € 50</w:t>
      </w:r>
      <w:r w:rsidR="00603E94" w:rsidRPr="00603E94">
        <w:t xml:space="preserve"> </w:t>
      </w:r>
      <w:r w:rsidR="00603E94">
        <w:t>je Stunde</w:t>
      </w:r>
      <w:r w:rsidR="003305B0">
        <w:t xml:space="preserve">, variable Kosten von € 10 </w:t>
      </w:r>
      <w:r w:rsidR="00603E94">
        <w:t xml:space="preserve">je Stunde </w:t>
      </w:r>
      <w:r w:rsidR="003305B0">
        <w:t>und Fixkosten von € 30.000</w:t>
      </w:r>
      <w:r w:rsidR="007B4090">
        <w:t xml:space="preserve"> für dieses Jahr</w:t>
      </w:r>
      <w:r w:rsidR="003305B0">
        <w:t xml:space="preserve"> angenommen. Der Break-Even-Point ergibt </w:t>
      </w:r>
      <w:r w:rsidR="00CE7433">
        <w:t>sich bei jener Absatzmenge</w:t>
      </w:r>
      <w:r w:rsidR="003305B0">
        <w:t xml:space="preserve">, </w:t>
      </w:r>
      <w:r w:rsidR="00CE7433">
        <w:t>bei welcher</w:t>
      </w:r>
      <w:r w:rsidR="003305B0">
        <w:t xml:space="preserve"> die Umsätze den Gesamtkosten entsprechen bzw. der Gewinn gleich null ist. </w:t>
      </w:r>
    </w:p>
    <w:p w:rsidR="003305B0" w:rsidRDefault="003305B0" w:rsidP="002719A8">
      <w:pPr>
        <w:jc w:val="both"/>
      </w:pPr>
      <w:r>
        <w:t xml:space="preserve">Die </w:t>
      </w:r>
      <w:r w:rsidRPr="00A25CEE">
        <w:rPr>
          <w:b/>
        </w:rPr>
        <w:t>Break-Even-Menge</w:t>
      </w:r>
      <w:r>
        <w:t xml:space="preserve"> </w:t>
      </w:r>
      <w:r w:rsidR="00A25CEE">
        <w:t>berechnet</w:t>
      </w:r>
      <w:r>
        <w:t xml:space="preserve"> sich wie folgt:</w:t>
      </w:r>
    </w:p>
    <w:p w:rsidR="003305B0" w:rsidRDefault="003305B0" w:rsidP="00B933A1">
      <w:pPr>
        <w:jc w:val="center"/>
      </w:pPr>
      <w:r>
        <w:lastRenderedPageBreak/>
        <w:t>Break-Even-Menge = Fixkosten / (Preis – Variable Kosten)</w:t>
      </w:r>
    </w:p>
    <w:p w:rsidR="003305B0" w:rsidRDefault="00EE151F" w:rsidP="002719A8">
      <w:pPr>
        <w:jc w:val="both"/>
      </w:pPr>
      <w:r>
        <w:t xml:space="preserve">Wie der Formel entnommen werden kann, werden die Fixkosten durch den </w:t>
      </w:r>
      <w:r w:rsidRPr="00EE151F">
        <w:rPr>
          <w:b/>
        </w:rPr>
        <w:t>Deckungsbeitrag</w:t>
      </w:r>
      <w:r>
        <w:t xml:space="preserve">, welcher sich als Stundenpreis abzüglich variabler Kosten je Stunde definiert, dividiert. </w:t>
      </w:r>
      <w:r w:rsidR="00741CFF">
        <w:t>In diesem Beispiel</w:t>
      </w:r>
      <w:r w:rsidR="003305B0">
        <w:t xml:space="preserve"> </w:t>
      </w:r>
      <w:r w:rsidR="00446705">
        <w:t>wurde</w:t>
      </w:r>
      <w:r w:rsidR="003305B0">
        <w:t xml:space="preserve"> die Break-Even-Menge mit 750 Stunden ermittelt (€ 30.000 / (€ 50 - € 10)</w:t>
      </w:r>
      <w:r w:rsidR="008D5F79">
        <w:t>)</w:t>
      </w:r>
      <w:r w:rsidR="003305B0">
        <w:t xml:space="preserve">. </w:t>
      </w:r>
      <w:r w:rsidR="00B933A1">
        <w:t xml:space="preserve">Verrechnet </w:t>
      </w:r>
      <w:r w:rsidR="00A25CEE">
        <w:t>der/die</w:t>
      </w:r>
      <w:r w:rsidR="00B933A1">
        <w:t xml:space="preserve"> Unternehmer/in in </w:t>
      </w:r>
      <w:r w:rsidR="00933BA8">
        <w:t>der</w:t>
      </w:r>
      <w:r w:rsidR="00B933A1">
        <w:t xml:space="preserve"> Periode genau 750 Stunden, so beträgt sein</w:t>
      </w:r>
      <w:r w:rsidR="00446705">
        <w:t xml:space="preserve"> (kostenrechnerisches)</w:t>
      </w:r>
      <w:r w:rsidR="00B933A1">
        <w:t xml:space="preserve"> Betriebsergebnis € 0. Werden mehr</w:t>
      </w:r>
      <w:r w:rsidR="007B4090">
        <w:t xml:space="preserve"> (weniger)</w:t>
      </w:r>
      <w:r w:rsidR="00B933A1">
        <w:t xml:space="preserve"> als 750 Stunden verrechnet, wird ein Gewinn</w:t>
      </w:r>
      <w:r w:rsidR="007B4090">
        <w:t xml:space="preserve"> (Verlust)</w:t>
      </w:r>
      <w:r w:rsidR="00B933A1">
        <w:t xml:space="preserve"> erwirtschaf</w:t>
      </w:r>
      <w:r w:rsidR="007B4090">
        <w:t>tet.</w:t>
      </w:r>
    </w:p>
    <w:p w:rsidR="00B20771" w:rsidRDefault="00741CFF" w:rsidP="002719A8">
      <w:pPr>
        <w:jc w:val="both"/>
      </w:pPr>
      <w:r>
        <w:t xml:space="preserve">Ein Nachteil </w:t>
      </w:r>
      <w:r w:rsidR="00446705">
        <w:t>des Grundmodells</w:t>
      </w:r>
      <w:r>
        <w:t xml:space="preserve"> ist es, dass die Parameter Nettoverkaufspreis, variable und fixe Kosten als </w:t>
      </w:r>
      <w:r w:rsidR="006751D6">
        <w:t>sicher</w:t>
      </w:r>
      <w:r>
        <w:t xml:space="preserve"> angenommen werden. Um einen Eindruck über die Konsequenzen von Veränderungen dieser Parameter zu erhalten, kann untersucht werden, wie sich </w:t>
      </w:r>
      <w:r w:rsidR="00446705">
        <w:t>eine</w:t>
      </w:r>
      <w:r>
        <w:t xml:space="preserve"> Veränderung dieser Größen auf die Break-Even-Menge auswirkt.</w:t>
      </w:r>
      <w:r w:rsidR="00B114B0">
        <w:t xml:space="preserve"> Dies kann bewerkstelligt werden, </w:t>
      </w:r>
      <w:r w:rsidR="00E56397">
        <w:t>indem</w:t>
      </w:r>
      <w:r w:rsidR="00B114B0">
        <w:t xml:space="preserve"> die genannten Parameter variiert werden. Mit </w:t>
      </w:r>
      <w:r w:rsidR="002D1E36">
        <w:t xml:space="preserve">der Durchführung </w:t>
      </w:r>
      <w:r w:rsidR="00B114B0">
        <w:t xml:space="preserve">einer </w:t>
      </w:r>
      <w:r w:rsidR="00532DD4">
        <w:t xml:space="preserve">derartigen </w:t>
      </w:r>
      <w:r w:rsidR="00B114B0" w:rsidRPr="00532DD4">
        <w:rPr>
          <w:b/>
        </w:rPr>
        <w:t>Sensitivitätsanalyse</w:t>
      </w:r>
      <w:r w:rsidR="00B114B0">
        <w:t xml:space="preserve"> kann beurteilt werden, ob eine Veränderung der Parameter einen hohen Einfluss auf die Break-Even-Menge ausübt</w:t>
      </w:r>
      <w:r w:rsidR="002D1E36">
        <w:t xml:space="preserve"> und Maßnahmen ergriffen werden müssen</w:t>
      </w:r>
      <w:r w:rsidR="00B114B0">
        <w:t>.</w:t>
      </w:r>
    </w:p>
    <w:p w:rsidR="00741CFF" w:rsidRDefault="00B114B0" w:rsidP="002719A8">
      <w:pPr>
        <w:jc w:val="both"/>
      </w:pPr>
      <w:r>
        <w:rPr>
          <w:noProof/>
          <w:lang w:eastAsia="de-DE"/>
        </w:rPr>
        <w:drawing>
          <wp:inline distT="0" distB="0" distL="0" distR="0" wp14:anchorId="2E530B6C" wp14:editId="42EA0441">
            <wp:extent cx="5225362" cy="524295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25818" cy="5243412"/>
                    </a:xfrm>
                    <a:prstGeom prst="rect">
                      <a:avLst/>
                    </a:prstGeom>
                  </pic:spPr>
                </pic:pic>
              </a:graphicData>
            </a:graphic>
          </wp:inline>
        </w:drawing>
      </w:r>
    </w:p>
    <w:p w:rsidR="00B114B0" w:rsidRDefault="00B114B0" w:rsidP="00B114B0">
      <w:pPr>
        <w:pStyle w:val="Beschriftung"/>
        <w:jc w:val="center"/>
      </w:pPr>
      <w:r>
        <w:t xml:space="preserve">Abbildung </w:t>
      </w:r>
      <w:r w:rsidR="00960196">
        <w:fldChar w:fldCharType="begin"/>
      </w:r>
      <w:r w:rsidR="00960196">
        <w:instrText xml:space="preserve"> SEQ Abbildung \* ARABIC </w:instrText>
      </w:r>
      <w:r w:rsidR="00960196">
        <w:fldChar w:fldCharType="separate"/>
      </w:r>
      <w:r w:rsidR="005D797B">
        <w:rPr>
          <w:noProof/>
        </w:rPr>
        <w:t>2</w:t>
      </w:r>
      <w:r w:rsidR="00960196">
        <w:rPr>
          <w:noProof/>
        </w:rPr>
        <w:fldChar w:fldCharType="end"/>
      </w:r>
      <w:r>
        <w:t>: Durchführung einer Sensitivitätsanalyse</w:t>
      </w:r>
    </w:p>
    <w:p w:rsidR="00AB74F5" w:rsidRDefault="00B114B0" w:rsidP="002719A8">
      <w:pPr>
        <w:jc w:val="both"/>
      </w:pPr>
      <w:r>
        <w:lastRenderedPageBreak/>
        <w:t xml:space="preserve">Abbildung 2 </w:t>
      </w:r>
      <w:r w:rsidR="00AB74F5">
        <w:t xml:space="preserve">zeigt im oberen Bereich die ursprünglich geplanten Werte und stellt diese den variierbaren </w:t>
      </w:r>
      <w:r w:rsidR="00BF2B48">
        <w:t>Größen</w:t>
      </w:r>
      <w:r w:rsidR="00AB74F5">
        <w:t xml:space="preserve"> gegenüber. Im unteren Bereich erfolgt eine Darstellung der Break-Even-Analyse mit den veränderten Daten. </w:t>
      </w:r>
    </w:p>
    <w:p w:rsidR="00307944" w:rsidRDefault="00446705" w:rsidP="002719A8">
      <w:pPr>
        <w:jc w:val="both"/>
      </w:pPr>
      <w:r>
        <w:t xml:space="preserve">In der Ausgangssituation ergibt sich eine Break-Even-Menge von </w:t>
      </w:r>
      <w:r w:rsidR="00B114B0">
        <w:t xml:space="preserve"> </w:t>
      </w:r>
      <w:r w:rsidR="003C1B8F">
        <w:t xml:space="preserve">750 Stunden. </w:t>
      </w:r>
      <w:r w:rsidR="00BA0A8E">
        <w:t>Nun wird beispielhaft</w:t>
      </w:r>
      <w:r w:rsidR="003C1B8F">
        <w:t xml:space="preserve"> untersucht, wie sich </w:t>
      </w:r>
      <w:r w:rsidR="00BA0A8E">
        <w:t>die Break-Even-Menge</w:t>
      </w:r>
      <w:r w:rsidR="003C1B8F">
        <w:t xml:space="preserve"> verändert, wenn die variablen Kosten um € 2 je Stunde und die Fixkosten</w:t>
      </w:r>
      <w:r w:rsidR="0073624A">
        <w:t xml:space="preserve"> der Periode</w:t>
      </w:r>
      <w:r w:rsidR="003C1B8F">
        <w:t xml:space="preserve"> um € 1.000 gesenkt werden können. Hierbei ergibt sich eine neue Break-Even-Menge von 690 Stunden. Das bedeutet, dass bei dieser Kostenreduktion die </w:t>
      </w:r>
      <w:r w:rsidR="003C1B8F" w:rsidRPr="007167E1">
        <w:rPr>
          <w:b/>
        </w:rPr>
        <w:t>Gewinnschwelle</w:t>
      </w:r>
      <w:r w:rsidR="003C1B8F">
        <w:t xml:space="preserve"> um </w:t>
      </w:r>
      <w:r w:rsidR="008B0C17">
        <w:t>60 Stunden früher erreicht wird.</w:t>
      </w:r>
    </w:p>
    <w:p w:rsidR="00060BAB" w:rsidRDefault="003C1B8F" w:rsidP="002719A8">
      <w:pPr>
        <w:jc w:val="both"/>
      </w:pPr>
      <w:r>
        <w:t xml:space="preserve">Weiters zeigt die Abbildung, dass </w:t>
      </w:r>
      <w:r w:rsidR="0017246F">
        <w:t>der/die</w:t>
      </w:r>
      <w:r>
        <w:t xml:space="preserve"> Unternehmer/in mit 1.056 verrechenbaren Leistungsstunden </w:t>
      </w:r>
      <w:r w:rsidR="00060BAB">
        <w:t>plant</w:t>
      </w:r>
      <w:r>
        <w:t xml:space="preserve"> (zur Ermittlung der verrechenbaren Leistungsstunden S. Teil 2 dieser Artikelreihe, Ausgabe 6</w:t>
      </w:r>
      <w:r w:rsidR="00307944">
        <w:t>9/</w:t>
      </w:r>
      <w:r w:rsidR="00962530">
        <w:t>17</w:t>
      </w:r>
      <w:r w:rsidR="00307944">
        <w:t xml:space="preserve">, S. 61). Die Anzahl der verrechenbaren Leistungsstunden muss jedenfalls </w:t>
      </w:r>
      <w:r w:rsidR="00060BAB">
        <w:t>über</w:t>
      </w:r>
      <w:r w:rsidR="00307944">
        <w:t xml:space="preserve"> der Break-Even-Menge liegen, andernfalls kann kein positives Ergebnis erwirtschaftet werden. </w:t>
      </w:r>
      <w:r w:rsidR="00D21DB2">
        <w:t>Eine hohe Break-Even-Menge kommt in der Praxis häufig zustande</w:t>
      </w:r>
      <w:r w:rsidR="00BA0A8E">
        <w:t xml:space="preserve">, </w:t>
      </w:r>
      <w:r w:rsidR="008B0C17">
        <w:t xml:space="preserve">wenn von Anbeginn mit zu hohen Fixkosten (zB großes Büro mit hoher Miete oder hohe Leasingraten für ein KFZ) geplant wird. Es sollte generell darauf geachtet werden, die fixen Zahlungsverpflichtungen so niedrig wie möglich zu halten. </w:t>
      </w:r>
    </w:p>
    <w:p w:rsidR="00307944" w:rsidRDefault="00307944" w:rsidP="002719A8">
      <w:pPr>
        <w:jc w:val="both"/>
      </w:pPr>
      <w:r>
        <w:t xml:space="preserve">In diesem </w:t>
      </w:r>
      <w:r w:rsidR="00060BAB">
        <w:t>Beispiel</w:t>
      </w:r>
      <w:r>
        <w:t xml:space="preserve"> ergibt sich ein Sicherheitspolster von 366 Stunden (1.056 geplante verrechenbare Stunden </w:t>
      </w:r>
      <w:r w:rsidR="00060BAB">
        <w:t>abzüglich</w:t>
      </w:r>
      <w:r>
        <w:t xml:space="preserve"> 690 Stunden, um die Gewinnschwelle zu erreichen). Das bedeutet, dass die</w:t>
      </w:r>
      <w:r w:rsidR="00060BAB">
        <w:t xml:space="preserve"> für diese Periode</w:t>
      </w:r>
      <w:r>
        <w:t xml:space="preserve"> geplanten verrechenbaren Stunden um </w:t>
      </w:r>
      <w:r w:rsidR="00060BAB">
        <w:t xml:space="preserve">366 Stunden unterschritten werden können, bevor ein Verlust </w:t>
      </w:r>
      <w:r w:rsidR="0064619D">
        <w:t>erzielt</w:t>
      </w:r>
      <w:r w:rsidR="00060BAB">
        <w:t xml:space="preserve"> wird. Weiters zeigen die Berechnungen, dass bei einem Umsatz von etwa </w:t>
      </w:r>
      <w:r w:rsidR="00962530">
        <w:t>€</w:t>
      </w:r>
      <w:r w:rsidR="00933BA8">
        <w:t> </w:t>
      </w:r>
      <w:r w:rsidR="00962530">
        <w:t xml:space="preserve">34.500 die Gewinnschwelle erreicht </w:t>
      </w:r>
      <w:r w:rsidR="00BA0A8E">
        <w:t>wird</w:t>
      </w:r>
      <w:r w:rsidR="00962530">
        <w:t>.</w:t>
      </w:r>
    </w:p>
    <w:p w:rsidR="000F26A0" w:rsidRDefault="000F26A0" w:rsidP="00874239">
      <w:pPr>
        <w:jc w:val="both"/>
      </w:pPr>
      <w:r>
        <w:t xml:space="preserve">In bestimmten Situationen kann es sinnvoll sein, jenen Nettoverkaufspreis zu ermitteln, bei dessen Verrechnung </w:t>
      </w:r>
      <w:r w:rsidR="00352B0F">
        <w:t>der Umsatz den Gesamtkosten entspricht bzw. der Gewinn gleich null ist.</w:t>
      </w:r>
      <w:r>
        <w:t xml:space="preserve"> Dieser Preis wird als Break-Even-Preis bezeichnet. </w:t>
      </w:r>
      <w:r w:rsidR="00352B0F">
        <w:t xml:space="preserve">Dieser Preis stellt somit die Preisuntergrenze für die Leistung dar, unter welcher die Leistung nicht mehr angeboten werden sollte. </w:t>
      </w:r>
    </w:p>
    <w:p w:rsidR="00F40D40" w:rsidRDefault="00F40D40" w:rsidP="00F40D40">
      <w:pPr>
        <w:pStyle w:val="berschrift2"/>
      </w:pPr>
      <w:bookmarkStart w:id="3" w:name="_Toc482175603"/>
      <w:r>
        <w:t>Ermittlung de</w:t>
      </w:r>
      <w:r w:rsidR="00671714">
        <w:t>s</w:t>
      </w:r>
      <w:r>
        <w:t xml:space="preserve"> Break-Even-Preises</w:t>
      </w:r>
      <w:bookmarkEnd w:id="3"/>
    </w:p>
    <w:p w:rsidR="00671714" w:rsidRDefault="00352B0F" w:rsidP="000F26A0">
      <w:pPr>
        <w:jc w:val="both"/>
      </w:pPr>
      <w:r>
        <w:t>Um den Break-Even-Preis berechnen zu können, müssen die Absatzmenge, die variablen und die fixen Kosten b</w:t>
      </w:r>
      <w:r w:rsidR="003119EF">
        <w:t>ekannt sein, welche in weiterer Folge für die Berechnung als konstant angenommen werden.</w:t>
      </w:r>
      <w:r>
        <w:t xml:space="preserve"> Eine Schwierigkeit stellt wiederum die Ermittlung der Absatzmenge dar. Hierbei könnte von den verrechenbaren Stunden ausgegangen werden.</w:t>
      </w:r>
    </w:p>
    <w:p w:rsidR="00352B0F" w:rsidRDefault="00352B0F" w:rsidP="000F26A0">
      <w:pPr>
        <w:jc w:val="both"/>
      </w:pPr>
      <w:r>
        <w:t xml:space="preserve"> Die Formel zur Ermittlung des </w:t>
      </w:r>
      <w:r w:rsidRPr="00332859">
        <w:rPr>
          <w:b/>
        </w:rPr>
        <w:t>Break-Even-Preises</w:t>
      </w:r>
      <w:r>
        <w:t xml:space="preserve"> lautet:</w:t>
      </w:r>
    </w:p>
    <w:p w:rsidR="00352B0F" w:rsidRDefault="00352B0F" w:rsidP="00352B0F">
      <w:pPr>
        <w:jc w:val="center"/>
      </w:pPr>
      <w:r>
        <w:t>Break-Even-Preis = Variable Kosten je Stunde + Fixkosten/Verrechenbare Stunden</w:t>
      </w:r>
    </w:p>
    <w:p w:rsidR="00671714" w:rsidRDefault="00671714" w:rsidP="000F26A0">
      <w:pPr>
        <w:jc w:val="both"/>
      </w:pPr>
      <w:r>
        <w:t xml:space="preserve">Der Break-Even-Preis hat überwiegend informativen Charakter und zeigt </w:t>
      </w:r>
      <w:r w:rsidR="000C7E3A">
        <w:t>dem/der</w:t>
      </w:r>
      <w:r>
        <w:t xml:space="preserve"> Unternehmer/in, um welchen Preis eine Leistung mindestens angeboten werden muss, um keinen Verlust zu erzielen. </w:t>
      </w:r>
      <w:r w:rsidR="009D27AF">
        <w:t xml:space="preserve">Es ist </w:t>
      </w:r>
      <w:r>
        <w:t>darauf zu achten, dass in diesem Preis kein Gewinn enthalten ist.</w:t>
      </w:r>
      <w:r w:rsidR="00E86182">
        <w:t xml:space="preserve"> Weiters wird unterstellt, dass die geplanten und verrechenbaren Stunden zur Gänze verrechnet werden können. </w:t>
      </w:r>
      <w:r w:rsidR="003255D4">
        <w:t>Wiede</w:t>
      </w:r>
      <w:r>
        <w:t>rum besteht die Möglichkeit, die Auswirkung der Änderungen der drei Größen auf den Mindestpreis zu simulieren.</w:t>
      </w:r>
    </w:p>
    <w:p w:rsidR="007C639A" w:rsidRDefault="007C639A" w:rsidP="000F26A0">
      <w:pPr>
        <w:jc w:val="both"/>
      </w:pPr>
      <w:r>
        <w:rPr>
          <w:noProof/>
          <w:lang w:eastAsia="de-DE"/>
        </w:rPr>
        <w:lastRenderedPageBreak/>
        <w:drawing>
          <wp:inline distT="0" distB="0" distL="0" distR="0" wp14:anchorId="25B24F4C" wp14:editId="4498EB81">
            <wp:extent cx="5057775" cy="22955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7775" cy="2295525"/>
                    </a:xfrm>
                    <a:prstGeom prst="rect">
                      <a:avLst/>
                    </a:prstGeom>
                  </pic:spPr>
                </pic:pic>
              </a:graphicData>
            </a:graphic>
          </wp:inline>
        </w:drawing>
      </w:r>
    </w:p>
    <w:p w:rsidR="00671714" w:rsidRDefault="00671714" w:rsidP="00671714">
      <w:pPr>
        <w:pStyle w:val="Beschriftung"/>
        <w:jc w:val="center"/>
      </w:pPr>
      <w:r>
        <w:t xml:space="preserve">Abbildung </w:t>
      </w:r>
      <w:fldSimple w:instr=" SEQ Abbildung \* ARABIC ">
        <w:r w:rsidR="005D797B">
          <w:rPr>
            <w:noProof/>
          </w:rPr>
          <w:t>3</w:t>
        </w:r>
      </w:fldSimple>
      <w:r>
        <w:t>: Durchführung einer Sensitivitätsanalyse hinsichtlich des Break-Even-Preises</w:t>
      </w:r>
    </w:p>
    <w:p w:rsidR="000F26A0" w:rsidRDefault="00671714" w:rsidP="00BA0A8E">
      <w:pPr>
        <w:jc w:val="both"/>
      </w:pPr>
      <w:r>
        <w:t xml:space="preserve">Wie der Abbildung </w:t>
      </w:r>
      <w:r w:rsidR="00235A22">
        <w:t xml:space="preserve">3 </w:t>
      </w:r>
      <w:r>
        <w:t>entnommen werden kann, ist die gefragte Zielgröße der Break-Even-Preis</w:t>
      </w:r>
      <w:r w:rsidR="00383C3A">
        <w:t xml:space="preserve"> je Stunde</w:t>
      </w:r>
      <w:r>
        <w:t>. Bei einer angenommenen Reduktion der variablen Kosten um € 2 und Fixkosten um € 1.000 würde sich bei einer verrec</w:t>
      </w:r>
      <w:r w:rsidR="001C7273">
        <w:t>henbaren Stundenanzahl von 1.056</w:t>
      </w:r>
      <w:r>
        <w:t xml:space="preserve"> Stunden ein (Net</w:t>
      </w:r>
      <w:r w:rsidR="001C7273">
        <w:t>to-)Break-Even-Preis von € 35,46</w:t>
      </w:r>
      <w:r>
        <w:t xml:space="preserve"> ergeben. Würden die verrechenbaren L</w:t>
      </w:r>
      <w:r w:rsidR="001C7273">
        <w:t>eistungsstunden um netto € 35,46</w:t>
      </w:r>
      <w:r>
        <w:t xml:space="preserve"> bzw. brutto €</w:t>
      </w:r>
      <w:r w:rsidR="006C3EC6">
        <w:t> </w:t>
      </w:r>
      <w:r>
        <w:t>4</w:t>
      </w:r>
      <w:r w:rsidR="001C7273">
        <w:t>2,55</w:t>
      </w:r>
      <w:r w:rsidR="00B839E5">
        <w:t xml:space="preserve"> (inkl. 20%iger Umsatzsteuer)</w:t>
      </w:r>
      <w:r>
        <w:t xml:space="preserve"> </w:t>
      </w:r>
      <w:r w:rsidR="006C3EC6">
        <w:t>verkauft</w:t>
      </w:r>
      <w:r>
        <w:t xml:space="preserve"> werde</w:t>
      </w:r>
      <w:r w:rsidR="001C7273">
        <w:t>n, würde ein Umsatz von € 37.448</w:t>
      </w:r>
      <w:r>
        <w:t xml:space="preserve"> erwirtschaftet und ein Gewinn von € 0 erzielt werden. </w:t>
      </w:r>
    </w:p>
    <w:p w:rsidR="0023139E" w:rsidRDefault="0023139E" w:rsidP="0023139E">
      <w:pPr>
        <w:pStyle w:val="berschrift2"/>
      </w:pPr>
      <w:bookmarkStart w:id="4" w:name="_Toc482175604"/>
      <w:r>
        <w:t>Zusammenfassung</w:t>
      </w:r>
      <w:r w:rsidR="00A428F7">
        <w:t xml:space="preserve"> und Ausblick</w:t>
      </w:r>
      <w:bookmarkEnd w:id="4"/>
    </w:p>
    <w:p w:rsidR="0088495D" w:rsidRDefault="00BA0A8E" w:rsidP="004215E8">
      <w:pPr>
        <w:jc w:val="both"/>
      </w:pPr>
      <w:r>
        <w:t xml:space="preserve">Bei </w:t>
      </w:r>
      <w:r w:rsidR="00981820">
        <w:t xml:space="preserve">vielen Anwendungen </w:t>
      </w:r>
      <w:r w:rsidR="005D64CA">
        <w:t xml:space="preserve">in </w:t>
      </w:r>
      <w:r w:rsidR="00113FDE">
        <w:t>der Kosten- und Leistungsrechnung</w:t>
      </w:r>
      <w:r w:rsidR="00981820">
        <w:t xml:space="preserve"> </w:t>
      </w:r>
      <w:r>
        <w:t xml:space="preserve">wird von sicheren Erwartungen ausgegangen. Tatsächlich ist unternehmerisches Handeln mit </w:t>
      </w:r>
      <w:r w:rsidR="00C86B84">
        <w:t>vielen</w:t>
      </w:r>
      <w:r>
        <w:t xml:space="preserve"> Unsicherheiten behaftet. Ein Problem besteht darin, dass zu Beginn </w:t>
      </w:r>
      <w:r w:rsidR="00D337AD">
        <w:t>meist nicht gewiss ist</w:t>
      </w:r>
      <w:r>
        <w:t xml:space="preserve">, wie viele Stunden tatsächlich verrechnet werden können. </w:t>
      </w:r>
      <w:r w:rsidR="004F5E75">
        <w:t xml:space="preserve">Hierbei ist es für </w:t>
      </w:r>
      <w:r w:rsidR="000C7E3A">
        <w:t>den/die</w:t>
      </w:r>
      <w:r w:rsidR="004F5E75">
        <w:t xml:space="preserve"> Unternehmer/in essentiell zu wissen, wie viele Stunden mindestens verrechnet werden müssen, um keinen Verlust zu erzielen. Dies</w:t>
      </w:r>
      <w:r w:rsidR="00981820">
        <w:t>e Frage</w:t>
      </w:r>
      <w:r w:rsidR="004F5E75">
        <w:t xml:space="preserve"> kann mit der Break-Even-Analyse</w:t>
      </w:r>
      <w:r w:rsidR="005D64CA">
        <w:t>, mit welcher die Mindestmenge ermittelt wird,</w:t>
      </w:r>
      <w:r w:rsidR="004F5E75">
        <w:t xml:space="preserve"> beantwortet werden. Die</w:t>
      </w:r>
      <w:r w:rsidR="00C86B84">
        <w:t>se</w:t>
      </w:r>
      <w:r w:rsidR="004F5E75">
        <w:t xml:space="preserve"> Mindestmenge wird aus den drei </w:t>
      </w:r>
      <w:r w:rsidR="005A2962">
        <w:t xml:space="preserve">als sicher angenommenen </w:t>
      </w:r>
      <w:r w:rsidR="004F5E75">
        <w:t xml:space="preserve">Parametern Nettoverkaufspreis je Stunde, variable Kosten je Stunde und Fixkosten der Periode </w:t>
      </w:r>
      <w:r w:rsidR="00C86B84">
        <w:t>errechnet</w:t>
      </w:r>
      <w:r w:rsidR="004F5E75">
        <w:t xml:space="preserve">. </w:t>
      </w:r>
    </w:p>
    <w:p w:rsidR="00154897" w:rsidRPr="0030656C" w:rsidRDefault="0073624A" w:rsidP="004215E8">
      <w:pPr>
        <w:jc w:val="both"/>
      </w:pPr>
      <w:r>
        <w:t xml:space="preserve">Um einen Eindruck darüber zu erhalten, wie sich </w:t>
      </w:r>
      <w:r w:rsidR="00981820">
        <w:t xml:space="preserve">eine </w:t>
      </w:r>
      <w:r>
        <w:t>Veränderun</w:t>
      </w:r>
      <w:r w:rsidR="00981820">
        <w:t>g</w:t>
      </w:r>
      <w:r>
        <w:t xml:space="preserve"> der drei Größen auf die Break-Even-Menge auswirk</w:t>
      </w:r>
      <w:r w:rsidR="00981820">
        <w:t>t</w:t>
      </w:r>
      <w:r>
        <w:t>, kann eine Sensitivitätsanalyse durchgeführt werden.</w:t>
      </w:r>
      <w:r w:rsidR="000F26A0">
        <w:t xml:space="preserve"> Hierbei ergibt sich beispielweise die Fragestellung, wie sich eine Preiserhöhung auf der Beschaffungsseite in der nächsten Periode auf die Break-Even-Menge auswirkt.</w:t>
      </w:r>
      <w:r>
        <w:t xml:space="preserve"> </w:t>
      </w:r>
      <w:r w:rsidR="000F26A0">
        <w:t>Es empfiehlt sich</w:t>
      </w:r>
      <w:r>
        <w:t xml:space="preserve">, diese Änderungen im Vergleich zu den ursprünglich geplanten Daten darzustellen, um </w:t>
      </w:r>
      <w:r w:rsidR="00960196">
        <w:t>einen Eindruck</w:t>
      </w:r>
      <w:r w:rsidR="00981820">
        <w:t xml:space="preserve"> über die Auswirkung der Veränderung</w:t>
      </w:r>
      <w:r w:rsidR="005D64CA">
        <w:t>en</w:t>
      </w:r>
      <w:r w:rsidR="00981820">
        <w:t xml:space="preserve"> zu erhalten. </w:t>
      </w:r>
      <w:r w:rsidR="005D64CA">
        <w:t>Mit den kostenrechnerischen Grundlagen dieser Artikelreihe sind Gründer/innen in der Lage, einen Stundensatz für die eigene Leistung zu ermitteln und Asp</w:t>
      </w:r>
      <w:bookmarkStart w:id="5" w:name="_GoBack"/>
      <w:bookmarkEnd w:id="5"/>
      <w:r w:rsidR="005D64CA">
        <w:t>ekte der Unsicherheit in die Entscheidung</w:t>
      </w:r>
      <w:r w:rsidR="0088495D">
        <w:t>sfindung</w:t>
      </w:r>
      <w:r w:rsidR="007B014F">
        <w:t xml:space="preserve"> </w:t>
      </w:r>
      <w:r w:rsidR="005D64CA">
        <w:t xml:space="preserve">einfließen zu lassen. In der nächsten Ausgabe wird beispielhaft für eine Neugründerin der </w:t>
      </w:r>
      <w:r w:rsidR="007B014F">
        <w:t xml:space="preserve">gesamte </w:t>
      </w:r>
      <w:r w:rsidR="005D64CA">
        <w:t xml:space="preserve">Ablauf </w:t>
      </w:r>
      <w:r w:rsidR="007B014F">
        <w:t xml:space="preserve">der in </w:t>
      </w:r>
      <w:r w:rsidR="006A2AB6">
        <w:t>dieser Artikelreihe</w:t>
      </w:r>
      <w:r w:rsidR="007B014F">
        <w:t xml:space="preserve"> dargestellten Themen</w:t>
      </w:r>
      <w:r w:rsidR="0088495D">
        <w:t xml:space="preserve"> </w:t>
      </w:r>
      <w:r w:rsidR="00960196">
        <w:t>dargestellt</w:t>
      </w:r>
      <w:r w:rsidR="000C7E3A">
        <w:t>.</w:t>
      </w:r>
    </w:p>
    <w:sectPr w:rsidR="00154897" w:rsidRPr="0030656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B8F" w:rsidRDefault="003C1B8F" w:rsidP="00037E65">
      <w:pPr>
        <w:spacing w:after="0" w:line="240" w:lineRule="auto"/>
      </w:pPr>
      <w:r>
        <w:separator/>
      </w:r>
    </w:p>
  </w:endnote>
  <w:endnote w:type="continuationSeparator" w:id="0">
    <w:p w:rsidR="003C1B8F" w:rsidRDefault="003C1B8F" w:rsidP="0003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906695"/>
      <w:docPartObj>
        <w:docPartGallery w:val="Page Numbers (Bottom of Page)"/>
        <w:docPartUnique/>
      </w:docPartObj>
    </w:sdtPr>
    <w:sdtEndPr/>
    <w:sdtContent>
      <w:sdt>
        <w:sdtPr>
          <w:id w:val="-1669238322"/>
          <w:docPartObj>
            <w:docPartGallery w:val="Page Numbers (Top of Page)"/>
            <w:docPartUnique/>
          </w:docPartObj>
        </w:sdtPr>
        <w:sdtEndPr/>
        <w:sdtContent>
          <w:p w:rsidR="003C1B8F" w:rsidRDefault="003C1B8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960196">
              <w:rPr>
                <w:b/>
                <w:bCs/>
                <w:noProof/>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60196">
              <w:rPr>
                <w:b/>
                <w:bCs/>
                <w:noProof/>
              </w:rPr>
              <w:t>5</w:t>
            </w:r>
            <w:r>
              <w:rPr>
                <w:b/>
                <w:bCs/>
                <w:sz w:val="24"/>
                <w:szCs w:val="24"/>
              </w:rPr>
              <w:fldChar w:fldCharType="end"/>
            </w:r>
          </w:p>
        </w:sdtContent>
      </w:sdt>
    </w:sdtContent>
  </w:sdt>
  <w:p w:rsidR="003C1B8F" w:rsidRDefault="003C1B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B8F" w:rsidRDefault="003C1B8F" w:rsidP="00037E65">
      <w:pPr>
        <w:spacing w:after="0" w:line="240" w:lineRule="auto"/>
      </w:pPr>
      <w:r>
        <w:separator/>
      </w:r>
    </w:p>
  </w:footnote>
  <w:footnote w:type="continuationSeparator" w:id="0">
    <w:p w:rsidR="003C1B8F" w:rsidRDefault="003C1B8F" w:rsidP="00037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06D"/>
    <w:multiLevelType w:val="hybridMultilevel"/>
    <w:tmpl w:val="4CBC5E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A364BC"/>
    <w:multiLevelType w:val="hybridMultilevel"/>
    <w:tmpl w:val="AC6C4C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D3"/>
    <w:rsid w:val="00001C49"/>
    <w:rsid w:val="00003CDA"/>
    <w:rsid w:val="00037E65"/>
    <w:rsid w:val="0005160A"/>
    <w:rsid w:val="000541AF"/>
    <w:rsid w:val="00060BAB"/>
    <w:rsid w:val="00060C3F"/>
    <w:rsid w:val="00064B67"/>
    <w:rsid w:val="00067745"/>
    <w:rsid w:val="000679EB"/>
    <w:rsid w:val="00072619"/>
    <w:rsid w:val="00075DAC"/>
    <w:rsid w:val="00084D82"/>
    <w:rsid w:val="0009366D"/>
    <w:rsid w:val="00093A7E"/>
    <w:rsid w:val="00093AEB"/>
    <w:rsid w:val="000B4AB1"/>
    <w:rsid w:val="000C43D0"/>
    <w:rsid w:val="000C6FE3"/>
    <w:rsid w:val="000C7E3A"/>
    <w:rsid w:val="000D091B"/>
    <w:rsid w:val="000D3F54"/>
    <w:rsid w:val="000D448F"/>
    <w:rsid w:val="000E27D8"/>
    <w:rsid w:val="000E6190"/>
    <w:rsid w:val="000F26A0"/>
    <w:rsid w:val="00100D66"/>
    <w:rsid w:val="001117D0"/>
    <w:rsid w:val="00113FDE"/>
    <w:rsid w:val="00115AF3"/>
    <w:rsid w:val="00123AF4"/>
    <w:rsid w:val="001329E1"/>
    <w:rsid w:val="00132CCB"/>
    <w:rsid w:val="00137553"/>
    <w:rsid w:val="00140ECF"/>
    <w:rsid w:val="0014307F"/>
    <w:rsid w:val="00154897"/>
    <w:rsid w:val="00161AF3"/>
    <w:rsid w:val="00170E0C"/>
    <w:rsid w:val="0017246F"/>
    <w:rsid w:val="0018099D"/>
    <w:rsid w:val="001834F1"/>
    <w:rsid w:val="001928DF"/>
    <w:rsid w:val="001B0C28"/>
    <w:rsid w:val="001B37A6"/>
    <w:rsid w:val="001B503F"/>
    <w:rsid w:val="001C219B"/>
    <w:rsid w:val="001C7273"/>
    <w:rsid w:val="001F0228"/>
    <w:rsid w:val="001F0457"/>
    <w:rsid w:val="001F15A8"/>
    <w:rsid w:val="00204815"/>
    <w:rsid w:val="00212650"/>
    <w:rsid w:val="00215BE1"/>
    <w:rsid w:val="00224436"/>
    <w:rsid w:val="00224FF4"/>
    <w:rsid w:val="00230389"/>
    <w:rsid w:val="0023139E"/>
    <w:rsid w:val="00235A22"/>
    <w:rsid w:val="00242523"/>
    <w:rsid w:val="00245BB0"/>
    <w:rsid w:val="00247A52"/>
    <w:rsid w:val="00257EF4"/>
    <w:rsid w:val="00267EC8"/>
    <w:rsid w:val="002719A8"/>
    <w:rsid w:val="0028423D"/>
    <w:rsid w:val="002948F4"/>
    <w:rsid w:val="002B2D33"/>
    <w:rsid w:val="002B31D1"/>
    <w:rsid w:val="002B3783"/>
    <w:rsid w:val="002C4057"/>
    <w:rsid w:val="002D1E36"/>
    <w:rsid w:val="002F06B6"/>
    <w:rsid w:val="002F1A45"/>
    <w:rsid w:val="002F20E6"/>
    <w:rsid w:val="002F2965"/>
    <w:rsid w:val="002F50AF"/>
    <w:rsid w:val="00303C45"/>
    <w:rsid w:val="0030656C"/>
    <w:rsid w:val="00307944"/>
    <w:rsid w:val="003119EF"/>
    <w:rsid w:val="00311A3B"/>
    <w:rsid w:val="0031764E"/>
    <w:rsid w:val="003248D3"/>
    <w:rsid w:val="003255D4"/>
    <w:rsid w:val="003305B0"/>
    <w:rsid w:val="00332859"/>
    <w:rsid w:val="00336458"/>
    <w:rsid w:val="00336CE9"/>
    <w:rsid w:val="00342CA3"/>
    <w:rsid w:val="00352B0F"/>
    <w:rsid w:val="00353FD4"/>
    <w:rsid w:val="00367296"/>
    <w:rsid w:val="00383C3A"/>
    <w:rsid w:val="00384150"/>
    <w:rsid w:val="00393AD8"/>
    <w:rsid w:val="00394E76"/>
    <w:rsid w:val="003A069A"/>
    <w:rsid w:val="003A30C8"/>
    <w:rsid w:val="003C0C44"/>
    <w:rsid w:val="003C1B8F"/>
    <w:rsid w:val="003E1121"/>
    <w:rsid w:val="003E2AA5"/>
    <w:rsid w:val="003E44E0"/>
    <w:rsid w:val="003F60CA"/>
    <w:rsid w:val="00402E8A"/>
    <w:rsid w:val="0041335F"/>
    <w:rsid w:val="004215E8"/>
    <w:rsid w:val="00421B3A"/>
    <w:rsid w:val="00430C01"/>
    <w:rsid w:val="00431F96"/>
    <w:rsid w:val="00443A5F"/>
    <w:rsid w:val="00446705"/>
    <w:rsid w:val="0046596C"/>
    <w:rsid w:val="00472AD3"/>
    <w:rsid w:val="00473725"/>
    <w:rsid w:val="004873C5"/>
    <w:rsid w:val="00495979"/>
    <w:rsid w:val="004B6671"/>
    <w:rsid w:val="004C0FEB"/>
    <w:rsid w:val="004C1504"/>
    <w:rsid w:val="004C24AE"/>
    <w:rsid w:val="004D695F"/>
    <w:rsid w:val="004D7CAC"/>
    <w:rsid w:val="004E14A4"/>
    <w:rsid w:val="004E21C2"/>
    <w:rsid w:val="004F0975"/>
    <w:rsid w:val="004F5E75"/>
    <w:rsid w:val="004F64FF"/>
    <w:rsid w:val="005059F4"/>
    <w:rsid w:val="00506A97"/>
    <w:rsid w:val="00513063"/>
    <w:rsid w:val="005169AF"/>
    <w:rsid w:val="00522686"/>
    <w:rsid w:val="005247B0"/>
    <w:rsid w:val="005273C7"/>
    <w:rsid w:val="00532DD4"/>
    <w:rsid w:val="0054193F"/>
    <w:rsid w:val="00544832"/>
    <w:rsid w:val="00547818"/>
    <w:rsid w:val="005526A2"/>
    <w:rsid w:val="00552E0B"/>
    <w:rsid w:val="005659F5"/>
    <w:rsid w:val="00571802"/>
    <w:rsid w:val="005769ED"/>
    <w:rsid w:val="00587F89"/>
    <w:rsid w:val="00595471"/>
    <w:rsid w:val="005A2962"/>
    <w:rsid w:val="005B6323"/>
    <w:rsid w:val="005B6D5B"/>
    <w:rsid w:val="005C0C85"/>
    <w:rsid w:val="005C4F81"/>
    <w:rsid w:val="005D0E5D"/>
    <w:rsid w:val="005D327C"/>
    <w:rsid w:val="005D40AD"/>
    <w:rsid w:val="005D64CA"/>
    <w:rsid w:val="005D72FB"/>
    <w:rsid w:val="005D797B"/>
    <w:rsid w:val="005E6F7F"/>
    <w:rsid w:val="005F1EA1"/>
    <w:rsid w:val="005F57CD"/>
    <w:rsid w:val="005F7107"/>
    <w:rsid w:val="005F7F57"/>
    <w:rsid w:val="00601F47"/>
    <w:rsid w:val="00602ED9"/>
    <w:rsid w:val="00603E94"/>
    <w:rsid w:val="006164AA"/>
    <w:rsid w:val="006215CD"/>
    <w:rsid w:val="006279D4"/>
    <w:rsid w:val="00632251"/>
    <w:rsid w:val="00636DBE"/>
    <w:rsid w:val="0064619D"/>
    <w:rsid w:val="006602A5"/>
    <w:rsid w:val="00667A49"/>
    <w:rsid w:val="00671714"/>
    <w:rsid w:val="0067462D"/>
    <w:rsid w:val="00674D34"/>
    <w:rsid w:val="006751D6"/>
    <w:rsid w:val="00681CCF"/>
    <w:rsid w:val="00684865"/>
    <w:rsid w:val="00685A68"/>
    <w:rsid w:val="006A1EB9"/>
    <w:rsid w:val="006A2AB6"/>
    <w:rsid w:val="006C3EC6"/>
    <w:rsid w:val="006C5B84"/>
    <w:rsid w:val="006C6B15"/>
    <w:rsid w:val="006C7CCF"/>
    <w:rsid w:val="006E1747"/>
    <w:rsid w:val="00710BDF"/>
    <w:rsid w:val="007117E6"/>
    <w:rsid w:val="00715418"/>
    <w:rsid w:val="007167E1"/>
    <w:rsid w:val="0073138D"/>
    <w:rsid w:val="00731F8F"/>
    <w:rsid w:val="0073624A"/>
    <w:rsid w:val="00741CFF"/>
    <w:rsid w:val="00744280"/>
    <w:rsid w:val="007471E3"/>
    <w:rsid w:val="007574B3"/>
    <w:rsid w:val="007749E3"/>
    <w:rsid w:val="00780581"/>
    <w:rsid w:val="0078296D"/>
    <w:rsid w:val="0078471B"/>
    <w:rsid w:val="0079456A"/>
    <w:rsid w:val="007B014F"/>
    <w:rsid w:val="007B110E"/>
    <w:rsid w:val="007B1C84"/>
    <w:rsid w:val="007B4090"/>
    <w:rsid w:val="007C639A"/>
    <w:rsid w:val="007C753C"/>
    <w:rsid w:val="007D2600"/>
    <w:rsid w:val="007D418E"/>
    <w:rsid w:val="007E1775"/>
    <w:rsid w:val="00804E31"/>
    <w:rsid w:val="00811433"/>
    <w:rsid w:val="00811DA9"/>
    <w:rsid w:val="00814229"/>
    <w:rsid w:val="00831CF6"/>
    <w:rsid w:val="00831EDD"/>
    <w:rsid w:val="00840A15"/>
    <w:rsid w:val="00864DCE"/>
    <w:rsid w:val="0087024C"/>
    <w:rsid w:val="00874239"/>
    <w:rsid w:val="00874EE6"/>
    <w:rsid w:val="00876A33"/>
    <w:rsid w:val="0088495D"/>
    <w:rsid w:val="00890503"/>
    <w:rsid w:val="0089550A"/>
    <w:rsid w:val="00895CA7"/>
    <w:rsid w:val="008961E7"/>
    <w:rsid w:val="0089695D"/>
    <w:rsid w:val="008B0C17"/>
    <w:rsid w:val="008B212C"/>
    <w:rsid w:val="008B7553"/>
    <w:rsid w:val="008C0C85"/>
    <w:rsid w:val="008C2A99"/>
    <w:rsid w:val="008D17E1"/>
    <w:rsid w:val="008D5F79"/>
    <w:rsid w:val="008E7544"/>
    <w:rsid w:val="008F0272"/>
    <w:rsid w:val="008F0C85"/>
    <w:rsid w:val="00900E63"/>
    <w:rsid w:val="00900F01"/>
    <w:rsid w:val="00904D6F"/>
    <w:rsid w:val="00905D40"/>
    <w:rsid w:val="0090701A"/>
    <w:rsid w:val="00911219"/>
    <w:rsid w:val="009145E2"/>
    <w:rsid w:val="00926876"/>
    <w:rsid w:val="00927EBC"/>
    <w:rsid w:val="00931C2C"/>
    <w:rsid w:val="00933BA8"/>
    <w:rsid w:val="0093633E"/>
    <w:rsid w:val="00937966"/>
    <w:rsid w:val="00945812"/>
    <w:rsid w:val="00950B2C"/>
    <w:rsid w:val="009547C0"/>
    <w:rsid w:val="00960196"/>
    <w:rsid w:val="00962530"/>
    <w:rsid w:val="009628E7"/>
    <w:rsid w:val="00966287"/>
    <w:rsid w:val="009665A1"/>
    <w:rsid w:val="00966BF2"/>
    <w:rsid w:val="00967329"/>
    <w:rsid w:val="00975F0F"/>
    <w:rsid w:val="00981820"/>
    <w:rsid w:val="0098597C"/>
    <w:rsid w:val="009926D7"/>
    <w:rsid w:val="00992DE0"/>
    <w:rsid w:val="009A2671"/>
    <w:rsid w:val="009C440C"/>
    <w:rsid w:val="009D27AF"/>
    <w:rsid w:val="009E3A75"/>
    <w:rsid w:val="009E7BEB"/>
    <w:rsid w:val="009F30CD"/>
    <w:rsid w:val="009F6442"/>
    <w:rsid w:val="009F6D9A"/>
    <w:rsid w:val="00A013EE"/>
    <w:rsid w:val="00A114BA"/>
    <w:rsid w:val="00A145D6"/>
    <w:rsid w:val="00A15BF0"/>
    <w:rsid w:val="00A1742C"/>
    <w:rsid w:val="00A1755E"/>
    <w:rsid w:val="00A25CEE"/>
    <w:rsid w:val="00A26FEA"/>
    <w:rsid w:val="00A428F7"/>
    <w:rsid w:val="00A51D3F"/>
    <w:rsid w:val="00A567FF"/>
    <w:rsid w:val="00A57BD3"/>
    <w:rsid w:val="00A64FEC"/>
    <w:rsid w:val="00A74F2F"/>
    <w:rsid w:val="00A9406A"/>
    <w:rsid w:val="00A9476E"/>
    <w:rsid w:val="00A96403"/>
    <w:rsid w:val="00AB74F5"/>
    <w:rsid w:val="00AC199B"/>
    <w:rsid w:val="00AC45C9"/>
    <w:rsid w:val="00AC73A9"/>
    <w:rsid w:val="00AE64ED"/>
    <w:rsid w:val="00AF0C07"/>
    <w:rsid w:val="00AF7170"/>
    <w:rsid w:val="00B04825"/>
    <w:rsid w:val="00B114B0"/>
    <w:rsid w:val="00B124F9"/>
    <w:rsid w:val="00B20771"/>
    <w:rsid w:val="00B32754"/>
    <w:rsid w:val="00B33A01"/>
    <w:rsid w:val="00B46F98"/>
    <w:rsid w:val="00B52137"/>
    <w:rsid w:val="00B5271E"/>
    <w:rsid w:val="00B56E84"/>
    <w:rsid w:val="00B577A6"/>
    <w:rsid w:val="00B74C89"/>
    <w:rsid w:val="00B8350F"/>
    <w:rsid w:val="00B839E5"/>
    <w:rsid w:val="00B85782"/>
    <w:rsid w:val="00B86863"/>
    <w:rsid w:val="00B933A1"/>
    <w:rsid w:val="00BA0A8E"/>
    <w:rsid w:val="00BA1E07"/>
    <w:rsid w:val="00BA3EBC"/>
    <w:rsid w:val="00BA7188"/>
    <w:rsid w:val="00BA781A"/>
    <w:rsid w:val="00BC3923"/>
    <w:rsid w:val="00BE03AA"/>
    <w:rsid w:val="00BF2A4B"/>
    <w:rsid w:val="00BF2B48"/>
    <w:rsid w:val="00C02E7C"/>
    <w:rsid w:val="00C248CC"/>
    <w:rsid w:val="00C3088D"/>
    <w:rsid w:val="00C32B73"/>
    <w:rsid w:val="00C40460"/>
    <w:rsid w:val="00C4179C"/>
    <w:rsid w:val="00C5301A"/>
    <w:rsid w:val="00C555D2"/>
    <w:rsid w:val="00C61538"/>
    <w:rsid w:val="00C6320A"/>
    <w:rsid w:val="00C64988"/>
    <w:rsid w:val="00C739C6"/>
    <w:rsid w:val="00C802CB"/>
    <w:rsid w:val="00C86B84"/>
    <w:rsid w:val="00C97AB8"/>
    <w:rsid w:val="00CA1136"/>
    <w:rsid w:val="00CA1733"/>
    <w:rsid w:val="00CB1117"/>
    <w:rsid w:val="00CB296B"/>
    <w:rsid w:val="00CB3A3D"/>
    <w:rsid w:val="00CC0CD7"/>
    <w:rsid w:val="00CC3315"/>
    <w:rsid w:val="00CC3AE3"/>
    <w:rsid w:val="00CE7433"/>
    <w:rsid w:val="00D00732"/>
    <w:rsid w:val="00D00FA3"/>
    <w:rsid w:val="00D21DB2"/>
    <w:rsid w:val="00D2302B"/>
    <w:rsid w:val="00D33250"/>
    <w:rsid w:val="00D337AD"/>
    <w:rsid w:val="00D449CB"/>
    <w:rsid w:val="00D5298C"/>
    <w:rsid w:val="00D54E62"/>
    <w:rsid w:val="00D907DD"/>
    <w:rsid w:val="00DA1467"/>
    <w:rsid w:val="00DA1931"/>
    <w:rsid w:val="00DA7EEF"/>
    <w:rsid w:val="00DB0C4B"/>
    <w:rsid w:val="00DC1386"/>
    <w:rsid w:val="00DE2097"/>
    <w:rsid w:val="00DF36AA"/>
    <w:rsid w:val="00E224C8"/>
    <w:rsid w:val="00E236C0"/>
    <w:rsid w:val="00E31507"/>
    <w:rsid w:val="00E422DD"/>
    <w:rsid w:val="00E45208"/>
    <w:rsid w:val="00E54A07"/>
    <w:rsid w:val="00E56397"/>
    <w:rsid w:val="00E81752"/>
    <w:rsid w:val="00E81BB3"/>
    <w:rsid w:val="00E86182"/>
    <w:rsid w:val="00E90BAA"/>
    <w:rsid w:val="00E94105"/>
    <w:rsid w:val="00EA372C"/>
    <w:rsid w:val="00EA7411"/>
    <w:rsid w:val="00EB6F79"/>
    <w:rsid w:val="00EC51C1"/>
    <w:rsid w:val="00EC6679"/>
    <w:rsid w:val="00ED0463"/>
    <w:rsid w:val="00ED0A50"/>
    <w:rsid w:val="00ED221A"/>
    <w:rsid w:val="00ED6974"/>
    <w:rsid w:val="00ED6EAB"/>
    <w:rsid w:val="00EE151F"/>
    <w:rsid w:val="00EF2235"/>
    <w:rsid w:val="00EF406D"/>
    <w:rsid w:val="00F0404D"/>
    <w:rsid w:val="00F0422B"/>
    <w:rsid w:val="00F059EA"/>
    <w:rsid w:val="00F10D1D"/>
    <w:rsid w:val="00F262E5"/>
    <w:rsid w:val="00F40D40"/>
    <w:rsid w:val="00F428F1"/>
    <w:rsid w:val="00F47346"/>
    <w:rsid w:val="00F55A21"/>
    <w:rsid w:val="00F60A67"/>
    <w:rsid w:val="00F714EA"/>
    <w:rsid w:val="00F8019D"/>
    <w:rsid w:val="00F815E9"/>
    <w:rsid w:val="00F97746"/>
    <w:rsid w:val="00FA16DC"/>
    <w:rsid w:val="00FA171E"/>
    <w:rsid w:val="00FA5EAD"/>
    <w:rsid w:val="00FA754A"/>
    <w:rsid w:val="00FC52DF"/>
    <w:rsid w:val="00FC64F7"/>
    <w:rsid w:val="00FD1C60"/>
    <w:rsid w:val="00FD3077"/>
    <w:rsid w:val="00FD3F56"/>
    <w:rsid w:val="00FE0D6A"/>
    <w:rsid w:val="00FE5770"/>
    <w:rsid w:val="00FE7964"/>
    <w:rsid w:val="00FF245A"/>
    <w:rsid w:val="00FF7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AD76"/>
  <w15:docId w15:val="{067B23B3-248F-446E-B3D7-351EDD83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065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065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06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633E"/>
    <w:pPr>
      <w:ind w:left="720"/>
      <w:contextualSpacing/>
    </w:pPr>
  </w:style>
  <w:style w:type="paragraph" w:styleId="Titel">
    <w:name w:val="Title"/>
    <w:basedOn w:val="Standard"/>
    <w:next w:val="Standard"/>
    <w:link w:val="TitelZchn"/>
    <w:uiPriority w:val="10"/>
    <w:qFormat/>
    <w:rsid w:val="003065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0656C"/>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30656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0656C"/>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30656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A26F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6FEA"/>
    <w:rPr>
      <w:rFonts w:ascii="Tahoma" w:hAnsi="Tahoma" w:cs="Tahoma"/>
      <w:sz w:val="16"/>
      <w:szCs w:val="16"/>
    </w:rPr>
  </w:style>
  <w:style w:type="paragraph" w:styleId="Beschriftung">
    <w:name w:val="caption"/>
    <w:basedOn w:val="Standard"/>
    <w:next w:val="Standard"/>
    <w:uiPriority w:val="35"/>
    <w:unhideWhenUsed/>
    <w:qFormat/>
    <w:rsid w:val="00A26FEA"/>
    <w:pPr>
      <w:spacing w:line="240" w:lineRule="auto"/>
    </w:pPr>
    <w:rPr>
      <w:b/>
      <w:bCs/>
      <w:color w:val="4F81BD" w:themeColor="accent1"/>
      <w:sz w:val="18"/>
      <w:szCs w:val="18"/>
    </w:rPr>
  </w:style>
  <w:style w:type="paragraph" w:styleId="Kopfzeile">
    <w:name w:val="header"/>
    <w:basedOn w:val="Standard"/>
    <w:link w:val="KopfzeileZchn"/>
    <w:uiPriority w:val="99"/>
    <w:unhideWhenUsed/>
    <w:rsid w:val="00037E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E65"/>
  </w:style>
  <w:style w:type="paragraph" w:styleId="Fuzeile">
    <w:name w:val="footer"/>
    <w:basedOn w:val="Standard"/>
    <w:link w:val="FuzeileZchn"/>
    <w:uiPriority w:val="99"/>
    <w:unhideWhenUsed/>
    <w:rsid w:val="00037E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E65"/>
  </w:style>
  <w:style w:type="paragraph" w:styleId="Inhaltsverzeichnisberschrift">
    <w:name w:val="TOC Heading"/>
    <w:basedOn w:val="berschrift1"/>
    <w:next w:val="Standard"/>
    <w:uiPriority w:val="39"/>
    <w:semiHidden/>
    <w:unhideWhenUsed/>
    <w:qFormat/>
    <w:rsid w:val="00CB1117"/>
    <w:pPr>
      <w:outlineLvl w:val="9"/>
    </w:pPr>
    <w:rPr>
      <w:lang w:eastAsia="de-DE"/>
    </w:rPr>
  </w:style>
  <w:style w:type="paragraph" w:styleId="Verzeichnis1">
    <w:name w:val="toc 1"/>
    <w:basedOn w:val="Standard"/>
    <w:next w:val="Standard"/>
    <w:autoRedefine/>
    <w:uiPriority w:val="39"/>
    <w:unhideWhenUsed/>
    <w:rsid w:val="00CB1117"/>
    <w:pPr>
      <w:spacing w:after="100"/>
    </w:pPr>
  </w:style>
  <w:style w:type="paragraph" w:styleId="Verzeichnis3">
    <w:name w:val="toc 3"/>
    <w:basedOn w:val="Standard"/>
    <w:next w:val="Standard"/>
    <w:autoRedefine/>
    <w:uiPriority w:val="39"/>
    <w:unhideWhenUsed/>
    <w:rsid w:val="00CB1117"/>
    <w:pPr>
      <w:spacing w:after="100"/>
      <w:ind w:left="440"/>
    </w:pPr>
  </w:style>
  <w:style w:type="paragraph" w:styleId="Verzeichnis2">
    <w:name w:val="toc 2"/>
    <w:basedOn w:val="Standard"/>
    <w:next w:val="Standard"/>
    <w:autoRedefine/>
    <w:uiPriority w:val="39"/>
    <w:unhideWhenUsed/>
    <w:rsid w:val="00CB1117"/>
    <w:pPr>
      <w:spacing w:after="100"/>
      <w:ind w:left="220"/>
    </w:pPr>
  </w:style>
  <w:style w:type="character" w:styleId="Hyperlink">
    <w:name w:val="Hyperlink"/>
    <w:basedOn w:val="Absatz-Standardschriftart"/>
    <w:uiPriority w:val="99"/>
    <w:unhideWhenUsed/>
    <w:rsid w:val="00CB1117"/>
    <w:rPr>
      <w:color w:val="0000FF" w:themeColor="hyperlink"/>
      <w:u w:val="single"/>
    </w:rPr>
  </w:style>
  <w:style w:type="table" w:styleId="Tabellenraster">
    <w:name w:val="Table Grid"/>
    <w:basedOn w:val="NormaleTabelle"/>
    <w:uiPriority w:val="59"/>
    <w:rsid w:val="00F81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A171E"/>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unhideWhenUsed/>
    <w:rsid w:val="00FA171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171E"/>
    <w:rPr>
      <w:sz w:val="20"/>
      <w:szCs w:val="20"/>
    </w:rPr>
  </w:style>
  <w:style w:type="character" w:styleId="Funotenzeichen">
    <w:name w:val="footnote reference"/>
    <w:basedOn w:val="Absatz-Standardschriftart"/>
    <w:uiPriority w:val="99"/>
    <w:semiHidden/>
    <w:unhideWhenUsed/>
    <w:rsid w:val="00FA17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1.xml" Type="http://schemas.openxmlformats.org/officeDocument/2006/relationships/footer" Id="rId11"></Relationship><Relationship Target="webSettings.xml" Type="http://schemas.openxmlformats.org/officeDocument/2006/relationships/webSettings" Id="rId5"></Relationship><Relationship Target="media/image3.png" Type="http://schemas.openxmlformats.org/officeDocument/2006/relationships/image" Id="rId10"></Relationship><Relationship Target="settings.xml" Type="http://schemas.openxmlformats.org/officeDocument/2006/relationships/settings" Id="rId4"></Relationship><Relationship Target="media/image2.png" Type="http://schemas.openxmlformats.org/officeDocument/2006/relationships/image" Id="rId9"></Relationshi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1392C-D46B-4C55-958B-51411D26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9772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Gruenbichler, MA</dc:creator>
  <cp:keywords/>
  <dc:description/>
  <cp:lastModifiedBy>Grünbichler Rudolf</cp:lastModifiedBy>
  <cp:revision>346</cp:revision>
  <cp:lastPrinted>2017-05-10T08:34:00Z</cp:lastPrinted>
  <dcterms:created xsi:type="dcterms:W3CDTF">2016-11-15T14:26:00Z</dcterms:created>
  <dcterms:modified xsi:type="dcterms:W3CDTF">2017-05-29T08:33:00Z</dcterms:modified>
</cp:coreProperties>
</file>